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7396" w:rsidRDefault="00A44569">
      <w:pPr>
        <w:spacing w:line="403" w:lineRule="auto"/>
        <w:ind w:left="1888"/>
        <w:rPr>
          <w:rFonts w:ascii="標楷體" w:eastAsia="標楷體" w:hAnsi="標楷體" w:cs="標楷體"/>
          <w:b/>
          <w:sz w:val="32"/>
          <w:szCs w:val="32"/>
        </w:rPr>
      </w:pPr>
      <w:r>
        <w:rPr>
          <w:rFonts w:ascii="標楷體" w:eastAsia="標楷體" w:hAnsi="標楷體" w:cs="標楷體"/>
          <w:b/>
          <w:sz w:val="32"/>
          <w:szCs w:val="32"/>
        </w:rPr>
        <w:t>國立中興大學文學院新聘教師資格審查程序</w:t>
      </w:r>
    </w:p>
    <w:p w14:paraId="00000002" w14:textId="77777777" w:rsidR="005C7396" w:rsidRDefault="00A44569" w:rsidP="00A25E05">
      <w:pPr>
        <w:spacing w:line="0" w:lineRule="atLeast"/>
        <w:jc w:val="center"/>
        <w:rPr>
          <w:rFonts w:ascii="標楷體" w:eastAsia="標楷體" w:hAnsi="標楷體" w:cs="標楷體"/>
          <w:b/>
          <w:sz w:val="32"/>
          <w:szCs w:val="32"/>
        </w:rPr>
      </w:pPr>
      <w:r>
        <w:rPr>
          <w:rFonts w:ascii="Times New Roman" w:eastAsia="Times New Roman" w:hAnsi="Times New Roman" w:cs="Times New Roman"/>
          <w:b/>
          <w:sz w:val="32"/>
          <w:szCs w:val="32"/>
        </w:rPr>
        <w:t>The Review Procedures for the Qualifications of the New Faculty at College of Liberal Arts</w:t>
      </w:r>
    </w:p>
    <w:p w14:paraId="00000003" w14:textId="77777777" w:rsidR="005C7396" w:rsidRDefault="00A44569">
      <w:pPr>
        <w:spacing w:before="16" w:line="260" w:lineRule="auto"/>
        <w:ind w:right="113"/>
        <w:jc w:val="right"/>
        <w:rPr>
          <w:rFonts w:ascii="標楷體" w:eastAsia="標楷體" w:hAnsi="標楷體" w:cs="標楷體"/>
          <w:sz w:val="20"/>
          <w:szCs w:val="20"/>
        </w:rPr>
      </w:pPr>
      <w:r>
        <w:rPr>
          <w:rFonts w:ascii="標楷體" w:eastAsia="標楷體" w:hAnsi="標楷體" w:cs="標楷體"/>
          <w:sz w:val="20"/>
          <w:szCs w:val="20"/>
        </w:rPr>
        <w:t>民國 98 年 3 月 24 日 97 學年度第 3 次院務會議修正通過</w:t>
      </w:r>
    </w:p>
    <w:p w14:paraId="00000004" w14:textId="77777777" w:rsidR="005C7396" w:rsidRDefault="00A44569">
      <w:pPr>
        <w:spacing w:before="16" w:line="260" w:lineRule="auto"/>
        <w:ind w:right="11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Amended and approved at the 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College Affairs Council meeting on Mar 24, 2009, academic year 97</w:t>
      </w:r>
    </w:p>
    <w:p w14:paraId="00000005" w14:textId="77777777" w:rsidR="005C7396" w:rsidRDefault="00A44569" w:rsidP="00A25E05">
      <w:pPr>
        <w:spacing w:line="260" w:lineRule="auto"/>
        <w:ind w:left="112" w:firstLine="3999"/>
        <w:jc w:val="right"/>
        <w:rPr>
          <w:rFonts w:ascii="標楷體" w:eastAsia="標楷體" w:hAnsi="標楷體" w:cs="標楷體"/>
          <w:color w:val="FF0000"/>
          <w:sz w:val="20"/>
          <w:szCs w:val="20"/>
        </w:rPr>
      </w:pPr>
      <w:r>
        <w:rPr>
          <w:rFonts w:ascii="標楷體" w:eastAsia="標楷體" w:hAnsi="標楷體" w:cs="標楷體"/>
          <w:color w:val="FF0000"/>
          <w:sz w:val="20"/>
          <w:szCs w:val="20"/>
        </w:rPr>
        <w:t>民國 110 年 10 月 13 日 110 學年度第 1 次院務會議修正通過</w:t>
      </w:r>
    </w:p>
    <w:p w14:paraId="00000006" w14:textId="77777777" w:rsidR="005C7396" w:rsidRDefault="00A44569">
      <w:pPr>
        <w:spacing w:line="260" w:lineRule="auto"/>
        <w:ind w:left="112" w:right="100"/>
        <w:jc w:val="right"/>
        <w:rPr>
          <w:rFonts w:ascii="標楷體" w:eastAsia="標楷體" w:hAnsi="標楷體" w:cs="標楷體"/>
          <w:color w:val="FF0000"/>
          <w:sz w:val="20"/>
          <w:szCs w:val="20"/>
        </w:rPr>
      </w:pPr>
      <w:r>
        <w:rPr>
          <w:rFonts w:ascii="Times New Roman" w:eastAsia="Times New Roman" w:hAnsi="Times New Roman" w:cs="Times New Roman"/>
          <w:color w:val="FF0000"/>
          <w:sz w:val="20"/>
          <w:szCs w:val="20"/>
        </w:rPr>
        <w:t>Amended and approved at the 1</w:t>
      </w:r>
      <w:r>
        <w:rPr>
          <w:rFonts w:ascii="Times New Roman" w:eastAsia="Times New Roman" w:hAnsi="Times New Roman" w:cs="Times New Roman"/>
          <w:color w:val="FF0000"/>
          <w:sz w:val="20"/>
          <w:szCs w:val="20"/>
          <w:vertAlign w:val="superscript"/>
        </w:rPr>
        <w:t>st</w:t>
      </w:r>
      <w:r>
        <w:rPr>
          <w:rFonts w:ascii="Times New Roman" w:eastAsia="Times New Roman" w:hAnsi="Times New Roman" w:cs="Times New Roman"/>
          <w:color w:val="FF0000"/>
          <w:sz w:val="20"/>
          <w:szCs w:val="20"/>
        </w:rPr>
        <w:t xml:space="preserve"> College Affairs Council meeting on Oct 13, 2021, academic year 110</w:t>
      </w:r>
    </w:p>
    <w:p w14:paraId="00000007" w14:textId="77777777" w:rsidR="005C7396" w:rsidRDefault="00A44569">
      <w:pPr>
        <w:pBdr>
          <w:top w:val="nil"/>
          <w:left w:val="nil"/>
          <w:bottom w:val="nil"/>
          <w:right w:val="nil"/>
          <w:between w:val="nil"/>
        </w:pBdr>
        <w:spacing w:before="130" w:line="312" w:lineRule="auto"/>
        <w:ind w:left="592" w:hanging="480"/>
        <w:rPr>
          <w:rFonts w:ascii="標楷體" w:eastAsia="標楷體" w:hAnsi="標楷體" w:cs="標楷體"/>
          <w:color w:val="000000"/>
          <w:sz w:val="24"/>
          <w:szCs w:val="24"/>
        </w:rPr>
      </w:pPr>
      <w:r>
        <w:rPr>
          <w:rFonts w:ascii="標楷體" w:eastAsia="標楷體" w:hAnsi="標楷體" w:cs="標楷體"/>
          <w:color w:val="000000"/>
          <w:sz w:val="24"/>
          <w:szCs w:val="24"/>
        </w:rPr>
        <w:t>一、本院新聘教師資格審查，分為獨立所</w:t>
      </w:r>
      <w:r>
        <w:rPr>
          <w:rFonts w:ascii="標楷體" w:eastAsia="標楷體" w:hAnsi="標楷體" w:cs="標楷體"/>
          <w:color w:val="FF0000"/>
          <w:sz w:val="24"/>
          <w:szCs w:val="24"/>
        </w:rPr>
        <w:t>（含學位學程）</w:t>
      </w:r>
      <w:r>
        <w:rPr>
          <w:rFonts w:ascii="標楷體" w:eastAsia="標楷體" w:hAnsi="標楷體" w:cs="標楷體"/>
          <w:color w:val="000000"/>
          <w:sz w:val="24"/>
          <w:szCs w:val="24"/>
        </w:rPr>
        <w:t>及系</w:t>
      </w:r>
      <w:r>
        <w:rPr>
          <w:rFonts w:ascii="標楷體" w:eastAsia="標楷體" w:hAnsi="標楷體" w:cs="標楷體"/>
          <w:color w:val="FF0000"/>
          <w:sz w:val="24"/>
          <w:szCs w:val="24"/>
        </w:rPr>
        <w:t>（含中心）</w:t>
      </w:r>
      <w:r>
        <w:rPr>
          <w:rFonts w:ascii="標楷體" w:eastAsia="標楷體" w:hAnsi="標楷體" w:cs="標楷體"/>
          <w:color w:val="000000"/>
          <w:sz w:val="24"/>
          <w:szCs w:val="24"/>
        </w:rPr>
        <w:t>兩種不同程序辦理：</w:t>
      </w:r>
    </w:p>
    <w:p w14:paraId="00000008" w14:textId="77777777" w:rsidR="005C7396" w:rsidRDefault="00A44569">
      <w:pPr>
        <w:pBdr>
          <w:top w:val="nil"/>
          <w:left w:val="nil"/>
          <w:bottom w:val="nil"/>
          <w:right w:val="nil"/>
          <w:between w:val="nil"/>
        </w:pBdr>
        <w:spacing w:line="296" w:lineRule="auto"/>
        <w:ind w:left="592"/>
        <w:rPr>
          <w:rFonts w:ascii="標楷體" w:eastAsia="標楷體" w:hAnsi="標楷體" w:cs="標楷體"/>
          <w:color w:val="000000"/>
          <w:sz w:val="24"/>
          <w:szCs w:val="24"/>
        </w:rPr>
      </w:pPr>
      <w:r>
        <w:rPr>
          <w:rFonts w:ascii="標楷體" w:eastAsia="標楷體" w:hAnsi="標楷體" w:cs="標楷體"/>
          <w:color w:val="000000"/>
          <w:sz w:val="24"/>
          <w:szCs w:val="24"/>
        </w:rPr>
        <w:t>(一) 獨立所</w:t>
      </w:r>
      <w:r>
        <w:rPr>
          <w:rFonts w:ascii="標楷體" w:eastAsia="標楷體" w:hAnsi="標楷體" w:cs="標楷體"/>
          <w:color w:val="FF0000"/>
          <w:sz w:val="24"/>
          <w:szCs w:val="24"/>
        </w:rPr>
        <w:t>（含學位學程）</w:t>
      </w:r>
      <w:r>
        <w:rPr>
          <w:rFonts w:ascii="標楷體" w:eastAsia="標楷體" w:hAnsi="標楷體" w:cs="標楷體"/>
          <w:color w:val="000000"/>
          <w:sz w:val="24"/>
          <w:szCs w:val="24"/>
        </w:rPr>
        <w:t>：</w:t>
      </w:r>
    </w:p>
    <w:p w14:paraId="00000009" w14:textId="50053CE7" w:rsidR="005C7396" w:rsidRDefault="00A44569">
      <w:pPr>
        <w:pBdr>
          <w:top w:val="nil"/>
          <w:left w:val="nil"/>
          <w:bottom w:val="nil"/>
          <w:right w:val="nil"/>
          <w:between w:val="nil"/>
        </w:pBdr>
        <w:spacing w:before="15" w:line="312" w:lineRule="auto"/>
        <w:ind w:left="1104" w:right="120" w:hanging="284"/>
        <w:jc w:val="both"/>
        <w:rPr>
          <w:rFonts w:ascii="標楷體" w:eastAsia="標楷體" w:hAnsi="標楷體" w:cs="標楷體"/>
          <w:color w:val="000000"/>
          <w:sz w:val="24"/>
          <w:szCs w:val="24"/>
        </w:rPr>
      </w:pPr>
      <w:r>
        <w:rPr>
          <w:rFonts w:ascii="標楷體" w:eastAsia="標楷體" w:hAnsi="標楷體" w:cs="標楷體"/>
          <w:color w:val="FF0000"/>
          <w:sz w:val="24"/>
          <w:szCs w:val="24"/>
        </w:rPr>
        <w:t>1. 獨立所：由所有教師共同討論新聘教師資格後送所教師評審委員會審議擬送外審人員。</w:t>
      </w:r>
    </w:p>
    <w:p w14:paraId="0000000A" w14:textId="02FEA2FE" w:rsidR="005C7396" w:rsidRDefault="00A44569">
      <w:pPr>
        <w:pBdr>
          <w:top w:val="nil"/>
          <w:left w:val="nil"/>
          <w:bottom w:val="nil"/>
          <w:right w:val="nil"/>
          <w:between w:val="nil"/>
        </w:pBdr>
        <w:spacing w:line="312" w:lineRule="auto"/>
        <w:ind w:left="1104" w:right="120" w:hanging="284"/>
        <w:jc w:val="both"/>
        <w:rPr>
          <w:rFonts w:ascii="標楷體" w:eastAsia="標楷體" w:hAnsi="標楷體" w:cs="標楷體"/>
          <w:color w:val="000000"/>
          <w:sz w:val="24"/>
          <w:szCs w:val="24"/>
        </w:rPr>
      </w:pPr>
      <w:r>
        <w:rPr>
          <w:rFonts w:ascii="標楷體" w:eastAsia="標楷體" w:hAnsi="標楷體" w:cs="標楷體"/>
          <w:color w:val="FF0000"/>
          <w:sz w:val="24"/>
          <w:szCs w:val="24"/>
        </w:rPr>
        <w:t>2. 學位學程：由學程事務委員會共同討論新聘教師資格後送學位學程教師評審委員會審議擬送外審人員。</w:t>
      </w:r>
    </w:p>
    <w:p w14:paraId="0000000B" w14:textId="77777777" w:rsidR="005C7396" w:rsidRDefault="00A44569">
      <w:pPr>
        <w:pBdr>
          <w:top w:val="nil"/>
          <w:left w:val="nil"/>
          <w:bottom w:val="nil"/>
          <w:right w:val="nil"/>
          <w:between w:val="nil"/>
        </w:pBdr>
        <w:spacing w:line="296" w:lineRule="auto"/>
        <w:ind w:left="592"/>
        <w:rPr>
          <w:rFonts w:ascii="標楷體" w:eastAsia="標楷體" w:hAnsi="標楷體" w:cs="標楷體"/>
          <w:color w:val="000000"/>
          <w:sz w:val="24"/>
          <w:szCs w:val="24"/>
        </w:rPr>
      </w:pPr>
      <w:r>
        <w:rPr>
          <w:rFonts w:ascii="標楷體" w:eastAsia="標楷體" w:hAnsi="標楷體" w:cs="標楷體"/>
          <w:color w:val="000000"/>
          <w:sz w:val="24"/>
          <w:szCs w:val="24"/>
        </w:rPr>
        <w:t>(二) 系</w:t>
      </w:r>
      <w:r>
        <w:rPr>
          <w:rFonts w:ascii="標楷體" w:eastAsia="標楷體" w:hAnsi="標楷體" w:cs="標楷體"/>
          <w:color w:val="FF0000"/>
          <w:sz w:val="24"/>
          <w:szCs w:val="24"/>
        </w:rPr>
        <w:t>（含中心）</w:t>
      </w:r>
      <w:r>
        <w:rPr>
          <w:rFonts w:ascii="標楷體" w:eastAsia="標楷體" w:hAnsi="標楷體" w:cs="標楷體"/>
          <w:color w:val="000000"/>
          <w:sz w:val="24"/>
          <w:szCs w:val="24"/>
        </w:rPr>
        <w:t>：</w:t>
      </w:r>
    </w:p>
    <w:p w14:paraId="0000000C" w14:textId="77777777" w:rsidR="005C7396" w:rsidRDefault="00A44569">
      <w:pPr>
        <w:pBdr>
          <w:top w:val="nil"/>
          <w:left w:val="nil"/>
          <w:bottom w:val="nil"/>
          <w:right w:val="nil"/>
          <w:between w:val="nil"/>
        </w:pBdr>
        <w:spacing w:line="239" w:lineRule="auto"/>
        <w:ind w:left="1072" w:right="113" w:hanging="240"/>
        <w:jc w:val="both"/>
        <w:rPr>
          <w:rFonts w:ascii="標楷體" w:eastAsia="標楷體" w:hAnsi="標楷體" w:cs="標楷體"/>
          <w:color w:val="000000"/>
          <w:sz w:val="24"/>
          <w:szCs w:val="24"/>
        </w:rPr>
      </w:pPr>
      <w:r>
        <w:rPr>
          <w:rFonts w:ascii="標楷體" w:eastAsia="標楷體" w:hAnsi="標楷體" w:cs="標楷體"/>
          <w:color w:val="000000"/>
          <w:sz w:val="24"/>
          <w:szCs w:val="24"/>
        </w:rPr>
        <w:t>1.由與擬徵聘教師領域相關之學者專家組成審查委員會，就各系</w:t>
      </w:r>
      <w:r>
        <w:rPr>
          <w:rFonts w:ascii="標楷體" w:eastAsia="標楷體" w:hAnsi="標楷體" w:cs="標楷體"/>
          <w:color w:val="FF0000"/>
          <w:sz w:val="24"/>
          <w:szCs w:val="24"/>
        </w:rPr>
        <w:t>（中心）</w:t>
      </w:r>
      <w:r>
        <w:rPr>
          <w:rFonts w:ascii="標楷體" w:eastAsia="標楷體" w:hAnsi="標楷體" w:cs="標楷體"/>
          <w:color w:val="000000"/>
          <w:sz w:val="24"/>
          <w:szCs w:val="24"/>
        </w:rPr>
        <w:t>訂定之基本 學術門檻、學術論著發表、與所擬聘任專長符合度等條件審查，並做成書面報告。 審查委員會由系</w:t>
      </w:r>
      <w:r>
        <w:rPr>
          <w:rFonts w:ascii="標楷體" w:eastAsia="標楷體" w:hAnsi="標楷體" w:cs="標楷體"/>
          <w:color w:val="FF0000"/>
          <w:sz w:val="24"/>
          <w:szCs w:val="24"/>
        </w:rPr>
        <w:t>（中心）</w:t>
      </w:r>
      <w:r>
        <w:rPr>
          <w:rFonts w:ascii="標楷體" w:eastAsia="標楷體" w:hAnsi="標楷體" w:cs="標楷體"/>
          <w:color w:val="000000"/>
          <w:sz w:val="24"/>
          <w:szCs w:val="24"/>
        </w:rPr>
        <w:t>主任邀請校外 1-2 名及系</w:t>
      </w:r>
      <w:r>
        <w:rPr>
          <w:rFonts w:ascii="標楷體" w:eastAsia="標楷體" w:hAnsi="標楷體" w:cs="標楷體"/>
          <w:color w:val="FF0000"/>
          <w:sz w:val="24"/>
          <w:szCs w:val="24"/>
        </w:rPr>
        <w:t>（中心）</w:t>
      </w:r>
      <w:r>
        <w:rPr>
          <w:rFonts w:ascii="標楷體" w:eastAsia="標楷體" w:hAnsi="標楷體" w:cs="標楷體"/>
          <w:color w:val="000000"/>
          <w:sz w:val="24"/>
          <w:szCs w:val="24"/>
        </w:rPr>
        <w:t>內推舉校內 1-2 名組成 之。</w:t>
      </w:r>
    </w:p>
    <w:p w14:paraId="0000000D" w14:textId="77777777" w:rsidR="005C7396" w:rsidRDefault="00A44569">
      <w:pPr>
        <w:pBdr>
          <w:top w:val="nil"/>
          <w:left w:val="nil"/>
          <w:bottom w:val="nil"/>
          <w:right w:val="nil"/>
          <w:between w:val="nil"/>
        </w:pBdr>
        <w:spacing w:before="14" w:line="312" w:lineRule="auto"/>
        <w:ind w:left="1072" w:right="151" w:hanging="240"/>
        <w:jc w:val="both"/>
        <w:rPr>
          <w:rFonts w:ascii="標楷體" w:eastAsia="標楷體" w:hAnsi="標楷體" w:cs="標楷體"/>
          <w:color w:val="000000"/>
          <w:sz w:val="24"/>
          <w:szCs w:val="24"/>
        </w:rPr>
      </w:pPr>
      <w:r>
        <w:rPr>
          <w:rFonts w:ascii="標楷體" w:eastAsia="標楷體" w:hAnsi="標楷體" w:cs="標楷體"/>
          <w:color w:val="000000"/>
          <w:sz w:val="24"/>
          <w:szCs w:val="24"/>
        </w:rPr>
        <w:t>2.系</w:t>
      </w:r>
      <w:r>
        <w:rPr>
          <w:rFonts w:ascii="標楷體" w:eastAsia="標楷體" w:hAnsi="標楷體" w:cs="標楷體"/>
          <w:color w:val="FF0000"/>
          <w:sz w:val="24"/>
          <w:szCs w:val="24"/>
        </w:rPr>
        <w:t>（中心）</w:t>
      </w:r>
      <w:r>
        <w:rPr>
          <w:rFonts w:ascii="標楷體" w:eastAsia="標楷體" w:hAnsi="標楷體" w:cs="標楷體"/>
          <w:color w:val="000000"/>
          <w:sz w:val="24"/>
          <w:szCs w:val="24"/>
        </w:rPr>
        <w:t>主任依據前項審查報告，得邀請符合資格之應聘人員辦理公開演講或以 其他方式演講，並通知全系</w:t>
      </w:r>
      <w:r>
        <w:rPr>
          <w:rFonts w:ascii="標楷體" w:eastAsia="標楷體" w:hAnsi="標楷體" w:cs="標楷體"/>
          <w:color w:val="FF0000"/>
          <w:sz w:val="24"/>
          <w:szCs w:val="24"/>
        </w:rPr>
        <w:t>（中心）</w:t>
      </w:r>
      <w:r>
        <w:rPr>
          <w:rFonts w:ascii="標楷體" w:eastAsia="標楷體" w:hAnsi="標楷體" w:cs="標楷體"/>
          <w:color w:val="000000"/>
          <w:sz w:val="24"/>
          <w:szCs w:val="24"/>
        </w:rPr>
        <w:t>教師參加。</w:t>
      </w:r>
    </w:p>
    <w:p w14:paraId="0000000E" w14:textId="77777777" w:rsidR="005C7396" w:rsidRDefault="00A44569">
      <w:pPr>
        <w:pBdr>
          <w:top w:val="nil"/>
          <w:left w:val="nil"/>
          <w:bottom w:val="nil"/>
          <w:right w:val="nil"/>
          <w:between w:val="nil"/>
        </w:pBdr>
        <w:spacing w:line="312" w:lineRule="auto"/>
        <w:ind w:left="1072" w:right="119" w:hanging="240"/>
        <w:jc w:val="both"/>
        <w:rPr>
          <w:rFonts w:ascii="Times New Roman" w:eastAsia="Times New Roman" w:hAnsi="Times New Roman" w:cs="Times New Roman"/>
          <w:color w:val="000000"/>
          <w:sz w:val="24"/>
          <w:szCs w:val="24"/>
        </w:rPr>
      </w:pPr>
      <w:r>
        <w:rPr>
          <w:rFonts w:ascii="標楷體" w:eastAsia="標楷體" w:hAnsi="標楷體" w:cs="標楷體"/>
          <w:color w:val="000000"/>
          <w:sz w:val="24"/>
          <w:szCs w:val="24"/>
        </w:rPr>
        <w:t>3.出席演講會之系</w:t>
      </w:r>
      <w:r>
        <w:rPr>
          <w:rFonts w:ascii="標楷體" w:eastAsia="標楷體" w:hAnsi="標楷體" w:cs="標楷體"/>
          <w:color w:val="FF0000"/>
          <w:sz w:val="24"/>
          <w:szCs w:val="24"/>
        </w:rPr>
        <w:t>（中心）</w:t>
      </w:r>
      <w:r>
        <w:rPr>
          <w:rFonts w:ascii="標楷體" w:eastAsia="標楷體" w:hAnsi="標楷體" w:cs="標楷體"/>
          <w:color w:val="000000"/>
          <w:sz w:val="24"/>
          <w:szCs w:val="24"/>
        </w:rPr>
        <w:t>內教師就書面報告及公開演講等資訊提出擬聘人員排序建 議，</w:t>
      </w:r>
      <w:sdt>
        <w:sdtPr>
          <w:tag w:val="goog_rdk_0"/>
          <w:id w:val="680779795"/>
        </w:sdtPr>
        <w:sdtEndPr>
          <w:rPr>
            <w:rFonts w:ascii="標楷體" w:eastAsia="標楷體" w:hAnsi="標楷體" w:cs="標楷體"/>
            <w:color w:val="000000"/>
            <w:sz w:val="24"/>
            <w:szCs w:val="24"/>
          </w:rPr>
        </w:sdtEndPr>
        <w:sdtContent>
          <w:r w:rsidRPr="00A25E05">
            <w:rPr>
              <w:rFonts w:ascii="標楷體" w:eastAsia="標楷體" w:hAnsi="標楷體" w:cs="標楷體"/>
              <w:color w:val="000000"/>
              <w:sz w:val="24"/>
              <w:szCs w:val="24"/>
            </w:rPr>
            <w:t>送系</w:t>
          </w:r>
        </w:sdtContent>
      </w:sdt>
      <w:sdt>
        <w:sdtPr>
          <w:rPr>
            <w:rFonts w:ascii="標楷體" w:eastAsia="標楷體" w:hAnsi="標楷體" w:cs="標楷體"/>
            <w:color w:val="000000"/>
            <w:sz w:val="24"/>
            <w:szCs w:val="24"/>
          </w:rPr>
          <w:tag w:val="goog_rdk_1"/>
          <w:id w:val="-1532640995"/>
        </w:sdtPr>
        <w:sdtEndPr/>
        <w:sdtContent>
          <w:r w:rsidRPr="00A25E05">
            <w:rPr>
              <w:rFonts w:ascii="標楷體" w:eastAsia="標楷體" w:hAnsi="標楷體" w:cs="標楷體"/>
              <w:color w:val="FF0000"/>
              <w:sz w:val="24"/>
              <w:szCs w:val="24"/>
            </w:rPr>
            <w:t>（中心）</w:t>
          </w:r>
        </w:sdtContent>
      </w:sdt>
      <w:sdt>
        <w:sdtPr>
          <w:rPr>
            <w:rFonts w:ascii="標楷體" w:eastAsia="標楷體" w:hAnsi="標楷體" w:cs="標楷體"/>
            <w:color w:val="000000"/>
            <w:sz w:val="24"/>
            <w:szCs w:val="24"/>
          </w:rPr>
          <w:tag w:val="goog_rdk_2"/>
          <w:id w:val="-539201305"/>
        </w:sdtPr>
        <w:sdtEndPr>
          <w:rPr>
            <w:rFonts w:ascii="Calibri" w:eastAsiaTheme="minorEastAsia" w:hAnsi="Calibri" w:cs="Calibri"/>
            <w:color w:val="auto"/>
            <w:sz w:val="22"/>
            <w:szCs w:val="22"/>
          </w:rPr>
        </w:sdtEndPr>
        <w:sdtContent>
          <w:r w:rsidRPr="00A25E05">
            <w:rPr>
              <w:rFonts w:ascii="標楷體" w:eastAsia="標楷體" w:hAnsi="標楷體" w:cs="標楷體"/>
              <w:color w:val="000000"/>
              <w:sz w:val="24"/>
              <w:szCs w:val="24"/>
            </w:rPr>
            <w:t>教師評審委員會審議擬送外審人員。</w:t>
          </w:r>
        </w:sdtContent>
      </w:sdt>
    </w:p>
    <w:p w14:paraId="0000000F" w14:textId="77777777" w:rsidR="005C7396" w:rsidRDefault="00A44569">
      <w:pPr>
        <w:numPr>
          <w:ilvl w:val="0"/>
          <w:numId w:val="1"/>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review of the qualifications of the new faculty at this college is divided into two different procedures including independent research institute (or degree program) and department (or center):</w:t>
      </w:r>
    </w:p>
    <w:p w14:paraId="00000010" w14:textId="77777777" w:rsidR="005C7396" w:rsidRDefault="00A44569">
      <w:pPr>
        <w:numPr>
          <w:ilvl w:val="0"/>
          <w:numId w:val="2"/>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Independent research institute (or degree program):</w:t>
      </w:r>
    </w:p>
    <w:p w14:paraId="00000011" w14:textId="77777777" w:rsidR="005C7396" w:rsidRDefault="00A44569">
      <w:pPr>
        <w:numPr>
          <w:ilvl w:val="0"/>
          <w:numId w:val="3"/>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Independent research institute: The faculty shall discuss the qualifications of the new faculty before the cases are sent to the Faculty Evaluation Committee of the Institute for deliberation and be ready for external reviews.</w:t>
      </w:r>
    </w:p>
    <w:p w14:paraId="00000012" w14:textId="77777777" w:rsidR="005C7396" w:rsidRDefault="00A44569">
      <w:pPr>
        <w:numPr>
          <w:ilvl w:val="0"/>
          <w:numId w:val="3"/>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 program: The qualifications of the new faculty are discussed among the Program Affairs Committee members before the cases are passed to the Faculty Evaluation Committee of the Degree Program for deliberation and be ready for external reviews.</w:t>
      </w:r>
    </w:p>
    <w:p w14:paraId="00000013" w14:textId="77777777" w:rsidR="005C7396" w:rsidRDefault="00A44569">
      <w:pPr>
        <w:numPr>
          <w:ilvl w:val="0"/>
          <w:numId w:val="2"/>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(or center): </w:t>
      </w:r>
    </w:p>
    <w:p w14:paraId="00000014" w14:textId="77777777" w:rsidR="005C7396" w:rsidRDefault="00A44569">
      <w:pPr>
        <w:numPr>
          <w:ilvl w:val="0"/>
          <w:numId w:val="4"/>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Review Committee, composed by scholars and experts on the relevant domain as the candidates, shall review in accordance with the requirements which every department (center) enacted, such as the fundamental academic threshold, academic publications, and the conformity with the recruiting specialty, and then compose a written report. One to two off-campus members invited by the Chair of the department (center) and one to two intramural members elected within the department </w:t>
      </w:r>
      <w:r>
        <w:rPr>
          <w:rFonts w:ascii="Times New Roman" w:eastAsia="Times New Roman" w:hAnsi="Times New Roman" w:cs="Times New Roman"/>
          <w:color w:val="000000"/>
          <w:sz w:val="24"/>
          <w:szCs w:val="24"/>
        </w:rPr>
        <w:lastRenderedPageBreak/>
        <w:t>(center) comprise the Review Committee.</w:t>
      </w:r>
    </w:p>
    <w:p w14:paraId="00000015" w14:textId="77777777" w:rsidR="005C7396" w:rsidRDefault="00A44569">
      <w:pPr>
        <w:numPr>
          <w:ilvl w:val="0"/>
          <w:numId w:val="4"/>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Chair of the department (center) can invite eligible candidates according to the previous review report to deliver public speeches or to deliver speeches in another way and notify all faculty of the department (center) to join.</w:t>
      </w:r>
    </w:p>
    <w:p w14:paraId="00000016" w14:textId="77777777" w:rsidR="005C7396" w:rsidRDefault="00A44569">
      <w:pPr>
        <w:numPr>
          <w:ilvl w:val="0"/>
          <w:numId w:val="4"/>
        </w:numPr>
        <w:pBdr>
          <w:top w:val="nil"/>
          <w:left w:val="nil"/>
          <w:bottom w:val="nil"/>
          <w:right w:val="nil"/>
          <w:between w:val="nil"/>
        </w:pBdr>
        <w:spacing w:line="312" w:lineRule="auto"/>
        <w:ind w:righ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faculty of the department (center) who participated in the speeches shall provide orders of the candidates as suggestions according to the written reports and the public speeches. The results are then sent to the Faculty Evaluation Committee of the Institute (Center) for deliberation and be ready for external reviews.</w:t>
      </w:r>
    </w:p>
    <w:p w14:paraId="00000017" w14:textId="7296B319" w:rsidR="005C7396" w:rsidRDefault="00A44569" w:rsidP="00A25E05">
      <w:pPr>
        <w:pBdr>
          <w:top w:val="nil"/>
          <w:left w:val="nil"/>
          <w:bottom w:val="nil"/>
          <w:right w:val="nil"/>
          <w:between w:val="nil"/>
        </w:pBdr>
        <w:spacing w:line="312" w:lineRule="auto"/>
        <w:ind w:leftChars="65" w:left="709" w:right="113" w:hangingChars="236" w:hanging="566"/>
        <w:rPr>
          <w:rFonts w:ascii="標楷體" w:eastAsia="標楷體" w:hAnsi="標楷體" w:cs="標楷體"/>
          <w:color w:val="000000"/>
          <w:sz w:val="24"/>
          <w:szCs w:val="24"/>
        </w:rPr>
      </w:pPr>
      <w:r>
        <w:rPr>
          <w:rFonts w:ascii="標楷體" w:eastAsia="標楷體" w:hAnsi="標楷體" w:cs="標楷體"/>
          <w:color w:val="000000"/>
          <w:sz w:val="24"/>
          <w:szCs w:val="24"/>
        </w:rPr>
        <w:t>二、各</w:t>
      </w:r>
      <w:r>
        <w:rPr>
          <w:rFonts w:ascii="標楷體" w:eastAsia="標楷體" w:hAnsi="標楷體" w:cs="標楷體"/>
          <w:color w:val="FF0000"/>
          <w:sz w:val="24"/>
          <w:szCs w:val="24"/>
        </w:rPr>
        <w:t>單位</w:t>
      </w:r>
      <w:r>
        <w:rPr>
          <w:rFonts w:ascii="標楷體" w:eastAsia="標楷體" w:hAnsi="標楷體" w:cs="標楷體"/>
          <w:color w:val="000000"/>
          <w:sz w:val="24"/>
          <w:szCs w:val="24"/>
        </w:rPr>
        <w:t>擬送外審人員以不超過擬聘員額2倍為原則，超過部分由</w:t>
      </w:r>
      <w:r>
        <w:rPr>
          <w:rFonts w:ascii="標楷體" w:eastAsia="標楷體" w:hAnsi="標楷體" w:cs="標楷體"/>
          <w:color w:val="FF0000"/>
          <w:sz w:val="24"/>
          <w:szCs w:val="24"/>
        </w:rPr>
        <w:t>單位</w:t>
      </w:r>
      <w:r>
        <w:rPr>
          <w:rFonts w:ascii="標楷體" w:eastAsia="標楷體" w:hAnsi="標楷體" w:cs="標楷體"/>
          <w:color w:val="000000"/>
          <w:sz w:val="24"/>
          <w:szCs w:val="24"/>
        </w:rPr>
        <w:t xml:space="preserve">負責外審相關費用。 </w:t>
      </w:r>
    </w:p>
    <w:p w14:paraId="00000018" w14:textId="77777777" w:rsidR="005C7396" w:rsidRDefault="00A44569">
      <w:pPr>
        <w:numPr>
          <w:ilvl w:val="0"/>
          <w:numId w:val="1"/>
        </w:numPr>
        <w:pBdr>
          <w:top w:val="nil"/>
          <w:left w:val="nil"/>
          <w:bottom w:val="nil"/>
          <w:right w:val="nil"/>
          <w:between w:val="nil"/>
        </w:pBdr>
        <w:spacing w:line="312" w:lineRule="auto"/>
        <w:ind w:right="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number of the proposed external reviewers that each unit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sending to shall not exceed two times the number of the candidates. The unit shall be responsible for the fees of the exceeded reviewers.</w:t>
      </w:r>
    </w:p>
    <w:p w14:paraId="00000019" w14:textId="77777777" w:rsidR="005C7396" w:rsidRDefault="00A44569" w:rsidP="00A25E05">
      <w:pPr>
        <w:pBdr>
          <w:top w:val="nil"/>
          <w:left w:val="nil"/>
          <w:bottom w:val="nil"/>
          <w:right w:val="nil"/>
          <w:between w:val="nil"/>
        </w:pBdr>
        <w:spacing w:line="312" w:lineRule="auto"/>
        <w:ind w:left="566" w:right="113" w:hangingChars="236" w:hanging="566"/>
        <w:jc w:val="right"/>
        <w:rPr>
          <w:rFonts w:ascii="標楷體" w:eastAsia="標楷體" w:hAnsi="標楷體" w:cs="標楷體"/>
          <w:color w:val="000000"/>
          <w:sz w:val="24"/>
          <w:szCs w:val="24"/>
        </w:rPr>
      </w:pPr>
      <w:r>
        <w:rPr>
          <w:rFonts w:ascii="標楷體" w:eastAsia="標楷體" w:hAnsi="標楷體" w:cs="標楷體"/>
          <w:color w:val="000000"/>
          <w:sz w:val="24"/>
          <w:szCs w:val="24"/>
        </w:rPr>
        <w:t>三、系</w:t>
      </w:r>
      <w:r>
        <w:rPr>
          <w:rFonts w:ascii="標楷體" w:eastAsia="標楷體" w:hAnsi="標楷體" w:cs="標楷體"/>
          <w:color w:val="FF0000"/>
          <w:sz w:val="24"/>
          <w:szCs w:val="24"/>
        </w:rPr>
        <w:t>級</w:t>
      </w:r>
      <w:r>
        <w:rPr>
          <w:rFonts w:ascii="標楷體" w:eastAsia="標楷體" w:hAnsi="標楷體" w:cs="標楷體"/>
          <w:color w:val="000000"/>
          <w:sz w:val="24"/>
          <w:szCs w:val="24"/>
        </w:rPr>
        <w:t>教師評審委員會除將擬送外審人員送院員額管理小組暨教師甄選委員會審議之外， 亦須將所有應聘人員資格條件及排序等資料一併送該委員會，委員得就</w:t>
      </w:r>
      <w:r>
        <w:rPr>
          <w:rFonts w:ascii="標楷體" w:eastAsia="標楷體" w:hAnsi="標楷體" w:cs="標楷體"/>
          <w:color w:val="FF0000"/>
          <w:sz w:val="24"/>
          <w:szCs w:val="24"/>
        </w:rPr>
        <w:t>單位</w:t>
      </w:r>
      <w:r>
        <w:rPr>
          <w:rFonts w:ascii="標楷體" w:eastAsia="標楷體" w:hAnsi="標楷體" w:cs="標楷體"/>
          <w:color w:val="000000"/>
          <w:sz w:val="24"/>
          <w:szCs w:val="24"/>
        </w:rPr>
        <w:t>未列為擬送外審名單中挑選送外審人員；</w:t>
      </w:r>
      <w:r>
        <w:rPr>
          <w:rFonts w:ascii="標楷體" w:eastAsia="標楷體" w:hAnsi="標楷體" w:cs="標楷體"/>
          <w:color w:val="FF0000"/>
          <w:sz w:val="24"/>
          <w:szCs w:val="24"/>
        </w:rPr>
        <w:t>單位</w:t>
      </w:r>
      <w:r>
        <w:rPr>
          <w:rFonts w:ascii="標楷體" w:eastAsia="標楷體" w:hAnsi="標楷體" w:cs="標楷體"/>
          <w:color w:val="000000"/>
          <w:sz w:val="24"/>
          <w:szCs w:val="24"/>
        </w:rPr>
        <w:t>內教師亦得經二分之一(含)以上連署，推薦未列為擬</w:t>
      </w:r>
    </w:p>
    <w:p w14:paraId="0000001A" w14:textId="77777777" w:rsidR="005C7396" w:rsidRDefault="00A44569">
      <w:pPr>
        <w:pBdr>
          <w:top w:val="nil"/>
          <w:left w:val="nil"/>
          <w:bottom w:val="nil"/>
          <w:right w:val="nil"/>
          <w:between w:val="nil"/>
        </w:pBdr>
        <w:spacing w:line="312" w:lineRule="auto"/>
        <w:ind w:left="112" w:firstLine="480"/>
        <w:rPr>
          <w:rFonts w:ascii="標楷體" w:eastAsia="標楷體" w:hAnsi="標楷體" w:cs="標楷體"/>
          <w:color w:val="000000"/>
          <w:sz w:val="24"/>
          <w:szCs w:val="24"/>
        </w:rPr>
      </w:pPr>
      <w:r>
        <w:rPr>
          <w:rFonts w:ascii="標楷體" w:eastAsia="標楷體" w:hAnsi="標楷體" w:cs="標楷體"/>
          <w:color w:val="000000"/>
          <w:sz w:val="24"/>
          <w:szCs w:val="24"/>
        </w:rPr>
        <w:t xml:space="preserve">送外審名單之人員送該委員會參酌。 </w:t>
      </w:r>
    </w:p>
    <w:p w14:paraId="0000001B" w14:textId="77777777" w:rsidR="005C7396" w:rsidRDefault="00A44569">
      <w:pPr>
        <w:numPr>
          <w:ilvl w:val="0"/>
          <w:numId w:val="1"/>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Department-level Faculty Evaluation Committee not only sends the proposed external reviewers list to the “College Staff Number Management Team and Faculty Selection Committee” for deliberation, but also hands in the qualifications and the orders of all candidates to the committee. The committee members can select external reviewers that are not listed by the unit. The faculty in the unit can also recommend external reviewers that are unlisted, with the signatures from at least half of the faculty and send the list to the committee for consideration. </w:t>
      </w:r>
    </w:p>
    <w:p w14:paraId="0000001C" w14:textId="77777777" w:rsidR="005C7396" w:rsidRDefault="00A44569">
      <w:pPr>
        <w:pBdr>
          <w:top w:val="nil"/>
          <w:left w:val="nil"/>
          <w:bottom w:val="nil"/>
          <w:right w:val="nil"/>
          <w:between w:val="nil"/>
        </w:pBdr>
        <w:spacing w:line="312" w:lineRule="auto"/>
        <w:rPr>
          <w:rFonts w:ascii="標楷體" w:eastAsia="標楷體" w:hAnsi="標楷體" w:cs="標楷體"/>
          <w:color w:val="000000"/>
          <w:sz w:val="24"/>
          <w:szCs w:val="24"/>
        </w:rPr>
      </w:pPr>
      <w:r>
        <w:rPr>
          <w:rFonts w:ascii="標楷體" w:eastAsia="標楷體" w:hAnsi="標楷體" w:cs="標楷體"/>
          <w:color w:val="000000"/>
          <w:sz w:val="24"/>
          <w:szCs w:val="24"/>
        </w:rPr>
        <w:t>四、凡通過外審之人員，各</w:t>
      </w:r>
      <w:r>
        <w:rPr>
          <w:rFonts w:ascii="標楷體" w:eastAsia="標楷體" w:hAnsi="標楷體" w:cs="標楷體"/>
          <w:color w:val="FF0000"/>
          <w:sz w:val="24"/>
          <w:szCs w:val="24"/>
        </w:rPr>
        <w:t>單位</w:t>
      </w:r>
      <w:r>
        <w:rPr>
          <w:rFonts w:ascii="標楷體" w:eastAsia="標楷體" w:hAnsi="標楷體" w:cs="標楷體"/>
          <w:color w:val="000000"/>
          <w:sz w:val="24"/>
          <w:szCs w:val="24"/>
        </w:rPr>
        <w:t>得邀請進行更為正式之公開演講會或試教。</w:t>
      </w:r>
    </w:p>
    <w:p w14:paraId="0000001D" w14:textId="77777777" w:rsidR="005C7396" w:rsidRDefault="00A44569">
      <w:pPr>
        <w:numPr>
          <w:ilvl w:val="0"/>
          <w:numId w:val="1"/>
        </w:numPr>
        <w:pBdr>
          <w:top w:val="nil"/>
          <w:left w:val="nil"/>
          <w:bottom w:val="nil"/>
          <w:right w:val="nil"/>
          <w:between w:val="nil"/>
        </w:pBdr>
        <w:spacing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unit can invite the candidates who have passed external reviews to deliver more official public speeches or teaching demonstrations.</w:t>
      </w:r>
    </w:p>
    <w:p w14:paraId="0000001E" w14:textId="77777777" w:rsidR="005C7396" w:rsidRDefault="00A44569" w:rsidP="00A25E05">
      <w:pPr>
        <w:pBdr>
          <w:top w:val="nil"/>
          <w:left w:val="nil"/>
          <w:bottom w:val="nil"/>
          <w:right w:val="nil"/>
          <w:between w:val="nil"/>
        </w:pBdr>
        <w:spacing w:before="43"/>
        <w:rPr>
          <w:rFonts w:ascii="標楷體" w:eastAsia="標楷體" w:hAnsi="標楷體" w:cs="標楷體"/>
          <w:color w:val="000000"/>
          <w:sz w:val="24"/>
          <w:szCs w:val="24"/>
        </w:rPr>
      </w:pPr>
      <w:r>
        <w:rPr>
          <w:rFonts w:ascii="標楷體" w:eastAsia="標楷體" w:hAnsi="標楷體" w:cs="標楷體"/>
          <w:color w:val="000000"/>
          <w:sz w:val="24"/>
          <w:szCs w:val="24"/>
        </w:rPr>
        <w:t>五、本程序經院務會議通過後實施，修正時亦同。</w:t>
      </w:r>
    </w:p>
    <w:p w14:paraId="0000001F" w14:textId="77777777" w:rsidR="005C7396" w:rsidRDefault="00A44569">
      <w:pPr>
        <w:numPr>
          <w:ilvl w:val="0"/>
          <w:numId w:val="1"/>
        </w:numPr>
        <w:pBdr>
          <w:top w:val="nil"/>
          <w:left w:val="nil"/>
          <w:bottom w:val="nil"/>
          <w:right w:val="nil"/>
          <w:between w:val="nil"/>
        </w:pBdr>
        <w:tabs>
          <w:tab w:val="left" w:pos="244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procedures have been implemented with the approvals at the College Affairs Council meeting. The same shall apply for all subsequent revisions.</w:t>
      </w:r>
    </w:p>
    <w:p w14:paraId="00000020" w14:textId="77777777" w:rsidR="005C7396" w:rsidRDefault="005C7396">
      <w:pPr>
        <w:pBdr>
          <w:top w:val="nil"/>
          <w:left w:val="nil"/>
          <w:bottom w:val="nil"/>
          <w:right w:val="nil"/>
          <w:between w:val="nil"/>
        </w:pBdr>
        <w:spacing w:before="43"/>
        <w:rPr>
          <w:rFonts w:ascii="Times New Roman" w:eastAsia="Times New Roman" w:hAnsi="Times New Roman" w:cs="Times New Roman"/>
          <w:color w:val="000000"/>
          <w:sz w:val="24"/>
          <w:szCs w:val="24"/>
        </w:rPr>
      </w:pPr>
    </w:p>
    <w:p w14:paraId="00000021" w14:textId="77777777" w:rsidR="005C7396" w:rsidRDefault="005C7396">
      <w:pPr>
        <w:pBdr>
          <w:top w:val="nil"/>
          <w:left w:val="nil"/>
          <w:bottom w:val="nil"/>
          <w:right w:val="nil"/>
          <w:between w:val="nil"/>
        </w:pBdr>
        <w:spacing w:before="43"/>
        <w:ind w:left="112"/>
        <w:rPr>
          <w:rFonts w:ascii="標楷體" w:eastAsia="標楷體" w:hAnsi="標楷體" w:cs="標楷體"/>
          <w:color w:val="000000"/>
          <w:sz w:val="24"/>
          <w:szCs w:val="24"/>
        </w:rPr>
      </w:pPr>
    </w:p>
    <w:sectPr w:rsidR="005C7396">
      <w:pgSz w:w="11910" w:h="16840"/>
      <w:pgMar w:top="1080" w:right="102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AE0D" w14:textId="77777777" w:rsidR="00AB28A1" w:rsidRDefault="00AB28A1" w:rsidP="00A25E05">
      <w:r>
        <w:separator/>
      </w:r>
    </w:p>
  </w:endnote>
  <w:endnote w:type="continuationSeparator" w:id="0">
    <w:p w14:paraId="2AEAFBFB" w14:textId="77777777" w:rsidR="00AB28A1" w:rsidRDefault="00AB28A1" w:rsidP="00A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363F" w14:textId="77777777" w:rsidR="00AB28A1" w:rsidRDefault="00AB28A1" w:rsidP="00A25E05">
      <w:r>
        <w:separator/>
      </w:r>
    </w:p>
  </w:footnote>
  <w:footnote w:type="continuationSeparator" w:id="0">
    <w:p w14:paraId="6E971652" w14:textId="77777777" w:rsidR="00AB28A1" w:rsidRDefault="00AB28A1" w:rsidP="00A2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13E"/>
    <w:multiLevelType w:val="multilevel"/>
    <w:tmpl w:val="4690982A"/>
    <w:lvl w:ilvl="0">
      <w:start w:val="1"/>
      <w:numFmt w:val="upperRoman"/>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F6A65A9"/>
    <w:multiLevelType w:val="multilevel"/>
    <w:tmpl w:val="B1FCB1AE"/>
    <w:lvl w:ilvl="0">
      <w:start w:val="1"/>
      <w:numFmt w:val="decimal"/>
      <w:lvlText w:val="(%1)"/>
      <w:lvlJc w:val="left"/>
      <w:pPr>
        <w:ind w:left="1440" w:hanging="480"/>
      </w:pPr>
      <w:rPr>
        <w:color w:val="000000"/>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6B741B70"/>
    <w:multiLevelType w:val="multilevel"/>
    <w:tmpl w:val="B14635AA"/>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778866AD"/>
    <w:multiLevelType w:val="multilevel"/>
    <w:tmpl w:val="B1C8D36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96"/>
    <w:rsid w:val="005C7396"/>
    <w:rsid w:val="00833A64"/>
    <w:rsid w:val="00A25E05"/>
    <w:rsid w:val="00A44569"/>
    <w:rsid w:val="00AB2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D410D"/>
  <w15:docId w15:val="{13B17323-16D4-4339-AF80-0E0E05E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592"/>
    </w:pPr>
    <w:rPr>
      <w:rFonts w:ascii="標楷體" w:eastAsia="標楷體" w:hAnsi="標楷體"/>
      <w:sz w:val="24"/>
      <w:szCs w:val="24"/>
      <w:u w:val="single"/>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A25E05"/>
    <w:pPr>
      <w:tabs>
        <w:tab w:val="center" w:pos="4153"/>
        <w:tab w:val="right" w:pos="8306"/>
      </w:tabs>
      <w:snapToGrid w:val="0"/>
    </w:pPr>
    <w:rPr>
      <w:sz w:val="20"/>
      <w:szCs w:val="20"/>
    </w:rPr>
  </w:style>
  <w:style w:type="character" w:customStyle="1" w:styleId="a8">
    <w:name w:val="頁首 字元"/>
    <w:basedOn w:val="a0"/>
    <w:link w:val="a7"/>
    <w:uiPriority w:val="99"/>
    <w:rsid w:val="00A25E05"/>
    <w:rPr>
      <w:sz w:val="20"/>
      <w:szCs w:val="20"/>
    </w:rPr>
  </w:style>
  <w:style w:type="paragraph" w:styleId="a9">
    <w:name w:val="footer"/>
    <w:basedOn w:val="a"/>
    <w:link w:val="aa"/>
    <w:uiPriority w:val="99"/>
    <w:unhideWhenUsed/>
    <w:rsid w:val="00A25E05"/>
    <w:pPr>
      <w:tabs>
        <w:tab w:val="center" w:pos="4153"/>
        <w:tab w:val="right" w:pos="8306"/>
      </w:tabs>
      <w:snapToGrid w:val="0"/>
    </w:pPr>
    <w:rPr>
      <w:sz w:val="20"/>
      <w:szCs w:val="20"/>
    </w:rPr>
  </w:style>
  <w:style w:type="character" w:customStyle="1" w:styleId="aa">
    <w:name w:val="頁尾 字元"/>
    <w:basedOn w:val="a0"/>
    <w:link w:val="a9"/>
    <w:uiPriority w:val="99"/>
    <w:rsid w:val="00A25E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JeWWGbablZD8xKigFZ0bayzzw==">AMUW2mX4wz+fwM7FlBwmia3BeExY0eLbQXLfKvcyJeOybvIu3LW2w1oMVelUU++ulDnTOJ75DWg3YLnlknoiU6cl5slt6/PWGKN6Lfm3D2m9//acisKXqpQUGJUJgjUrd+mlKt3JXQWVOdb1tBu6vSpBW+ytV5T0rKIPJAW6zHuFbz5CvfLgew4W+FvgbUqaNrmd+OSBchX8CSotB6Di7uS5dZylgw9kWMuPLiH9a7vE3r+BLSRykvHmqPsPX2+WCz1wOaKCe105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1003</Words>
  <Characters>2910</Characters>
  <Application>Microsoft Office Word</Application>
  <DocSecurity>0</DocSecurity>
  <Lines>61</Lines>
  <Paragraphs>35</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huei ting huang</cp:lastModifiedBy>
  <cp:revision>4</cp:revision>
  <dcterms:created xsi:type="dcterms:W3CDTF">2024-12-12T01:56:00Z</dcterms:created>
  <dcterms:modified xsi:type="dcterms:W3CDTF">2025-01-16T08:50:00Z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LastSaved">
    <vt:filetime>2022-01-17T00:00:00Z</vt:filetime>
  </property>
</Properties>
</file>