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5C71" w:rsidRPr="00BF1C0C" w:rsidRDefault="00457234" w:rsidP="000E75BD">
      <w:pPr>
        <w:ind w:left="113"/>
        <w:jc w:val="center"/>
        <w:rPr>
          <w:rFonts w:ascii="標楷體" w:eastAsia="標楷體" w:hAnsi="標楷體" w:cs="BiauKai"/>
          <w:b/>
          <w:sz w:val="32"/>
          <w:szCs w:val="32"/>
        </w:rPr>
      </w:pPr>
      <w:r w:rsidRPr="00BF1C0C">
        <w:rPr>
          <w:rFonts w:ascii="標楷體" w:eastAsia="標楷體" w:hAnsi="標楷體" w:cs="BiauKai"/>
          <w:b/>
          <w:sz w:val="32"/>
          <w:szCs w:val="32"/>
        </w:rPr>
        <w:t>國</w:t>
      </w:r>
      <w:r w:rsidRPr="00BF1C0C">
        <w:rPr>
          <w:rFonts w:ascii="標楷體" w:eastAsia="標楷體" w:hAnsi="標楷體" w:cs="新細明體"/>
          <w:b/>
          <w:sz w:val="32"/>
          <w:szCs w:val="32"/>
        </w:rPr>
        <w:t>立</w:t>
      </w:r>
      <w:r w:rsidRPr="00BF1C0C">
        <w:rPr>
          <w:rFonts w:ascii="標楷體" w:eastAsia="標楷體" w:hAnsi="標楷體" w:cs="BiauKai"/>
          <w:b/>
          <w:sz w:val="32"/>
          <w:szCs w:val="32"/>
        </w:rPr>
        <w:t>中興大學文學院教師著作審查標準</w:t>
      </w:r>
    </w:p>
    <w:p w14:paraId="00000002" w14:textId="629AC297" w:rsidR="00035C71" w:rsidRDefault="00457234" w:rsidP="009D6A1C">
      <w:pPr>
        <w:spacing w:line="0" w:lineRule="atLeast"/>
        <w:ind w:left="11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The Review Criteria for Faculty Publications at</w:t>
      </w:r>
      <w:r w:rsidR="002008EF" w:rsidRPr="002008EF">
        <w:rPr>
          <w:rFonts w:ascii="Times New Roman" w:eastAsia="Times New Roman" w:hAnsi="Times New Roman" w:cs="Times New Roman"/>
          <w:b/>
          <w:sz w:val="32"/>
          <w:szCs w:val="32"/>
        </w:rPr>
        <w:t xml:space="preserve"> the</w:t>
      </w:r>
      <w:r>
        <w:rPr>
          <w:rFonts w:ascii="Times New Roman" w:eastAsia="Times New Roman" w:hAnsi="Times New Roman" w:cs="Times New Roman"/>
          <w:b/>
          <w:sz w:val="32"/>
          <w:szCs w:val="32"/>
        </w:rPr>
        <w:t xml:space="preserve"> College of Liberal Arts</w:t>
      </w:r>
      <w:r w:rsidR="006A6981" w:rsidRPr="006A6981">
        <w:rPr>
          <w:rFonts w:ascii="Times New Roman" w:eastAsia="Times New Roman" w:hAnsi="Times New Roman" w:cs="Times New Roman" w:hint="eastAsia"/>
          <w:b/>
          <w:sz w:val="32"/>
          <w:szCs w:val="32"/>
        </w:rPr>
        <w:t xml:space="preserve"> </w:t>
      </w:r>
      <w:r w:rsidR="006A6981" w:rsidRPr="006A6981">
        <w:rPr>
          <w:rFonts w:ascii="Times New Roman" w:eastAsia="Times New Roman" w:hAnsi="Times New Roman" w:cs="Times New Roman"/>
          <w:b/>
          <w:sz w:val="32"/>
          <w:szCs w:val="32"/>
        </w:rPr>
        <w:t xml:space="preserve">of National Chung </w:t>
      </w:r>
      <w:proofErr w:type="spellStart"/>
      <w:r w:rsidR="006A6981" w:rsidRPr="006A6981">
        <w:rPr>
          <w:rFonts w:ascii="Times New Roman" w:eastAsia="Times New Roman" w:hAnsi="Times New Roman" w:cs="Times New Roman"/>
          <w:b/>
          <w:sz w:val="32"/>
          <w:szCs w:val="32"/>
        </w:rPr>
        <w:t>Hsing</w:t>
      </w:r>
      <w:proofErr w:type="spellEnd"/>
      <w:r w:rsidR="006A6981" w:rsidRPr="006A6981">
        <w:rPr>
          <w:rFonts w:ascii="Times New Roman" w:eastAsia="Times New Roman" w:hAnsi="Times New Roman" w:cs="Times New Roman"/>
          <w:b/>
          <w:sz w:val="32"/>
          <w:szCs w:val="32"/>
        </w:rPr>
        <w:t xml:space="preserve"> University</w:t>
      </w:r>
    </w:p>
    <w:p w14:paraId="00000003" w14:textId="77777777" w:rsidR="00035C71" w:rsidRPr="00BF1C0C" w:rsidRDefault="00457234" w:rsidP="009D6A1C">
      <w:pPr>
        <w:spacing w:beforeLines="50" w:before="120" w:line="235" w:lineRule="auto"/>
        <w:ind w:left="595" w:right="108" w:firstLine="2807"/>
        <w:jc w:val="right"/>
        <w:rPr>
          <w:rFonts w:ascii="標楷體" w:eastAsia="標楷體" w:hAnsi="標楷體" w:cs="BiauKai"/>
          <w:sz w:val="20"/>
          <w:szCs w:val="20"/>
        </w:rPr>
      </w:pPr>
      <w:r w:rsidRPr="00BF1C0C">
        <w:rPr>
          <w:rFonts w:ascii="標楷體" w:eastAsia="標楷體" w:hAnsi="標楷體" w:cs="BiauKai"/>
          <w:sz w:val="20"/>
          <w:szCs w:val="20"/>
        </w:rPr>
        <w:t>民國97</w:t>
      </w:r>
      <w:r w:rsidRPr="00BF1C0C">
        <w:rPr>
          <w:rFonts w:ascii="標楷體" w:eastAsia="標楷體" w:hAnsi="標楷體" w:cs="新細明體"/>
          <w:sz w:val="20"/>
          <w:szCs w:val="20"/>
        </w:rPr>
        <w:t>年</w:t>
      </w:r>
      <w:r w:rsidRPr="00BF1C0C">
        <w:rPr>
          <w:rFonts w:ascii="標楷體" w:eastAsia="標楷體" w:hAnsi="標楷體" w:cs="BiauKai"/>
          <w:sz w:val="20"/>
          <w:szCs w:val="20"/>
        </w:rPr>
        <w:t>1月23日96學</w:t>
      </w:r>
      <w:r w:rsidRPr="00BF1C0C">
        <w:rPr>
          <w:rFonts w:ascii="標楷體" w:eastAsia="標楷體" w:hAnsi="標楷體" w:cs="新細明體"/>
          <w:sz w:val="20"/>
          <w:szCs w:val="20"/>
        </w:rPr>
        <w:t>年度</w:t>
      </w:r>
      <w:r w:rsidRPr="00BF1C0C">
        <w:rPr>
          <w:rFonts w:ascii="標楷體" w:eastAsia="標楷體" w:hAnsi="標楷體" w:cs="BiauKai"/>
          <w:sz w:val="20"/>
          <w:szCs w:val="20"/>
        </w:rPr>
        <w:t>第2次院務會議通過</w:t>
      </w:r>
    </w:p>
    <w:p w14:paraId="00000004" w14:textId="77777777" w:rsidR="00035C71" w:rsidRDefault="00457234">
      <w:pPr>
        <w:spacing w:line="235" w:lineRule="auto"/>
        <w:ind w:right="1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Approved at the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College Affairs Council meeting on Jan 23, 2008, academic year 96</w:t>
      </w:r>
    </w:p>
    <w:p w14:paraId="00000005" w14:textId="77777777" w:rsidR="00035C71" w:rsidRPr="00BF1C0C" w:rsidRDefault="00457234">
      <w:pPr>
        <w:spacing w:line="235" w:lineRule="auto"/>
        <w:ind w:left="594" w:right="109" w:firstLine="2808"/>
        <w:jc w:val="right"/>
        <w:rPr>
          <w:rFonts w:ascii="標楷體" w:eastAsia="標楷體" w:hAnsi="標楷體" w:cs="BiauKai"/>
          <w:sz w:val="20"/>
          <w:szCs w:val="20"/>
        </w:rPr>
      </w:pPr>
      <w:r w:rsidRPr="00BF1C0C">
        <w:rPr>
          <w:rFonts w:ascii="標楷體" w:eastAsia="標楷體" w:hAnsi="標楷體" w:cs="BiauKai"/>
          <w:sz w:val="20"/>
          <w:szCs w:val="20"/>
        </w:rPr>
        <w:t>民國100年11月17日100學年度第1次臨時院務會議修正通過</w:t>
      </w:r>
    </w:p>
    <w:p w14:paraId="00000006" w14:textId="77777777" w:rsidR="00035C71" w:rsidRDefault="00457234">
      <w:pPr>
        <w:spacing w:line="235" w:lineRule="auto"/>
        <w:ind w:left="594" w:right="1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Amended and approved at the 1</w:t>
      </w:r>
      <w:r>
        <w:rPr>
          <w:rFonts w:ascii="Times New Roman" w:eastAsia="Times New Roman" w:hAnsi="Times New Roman" w:cs="Times New Roman"/>
          <w:sz w:val="20"/>
          <w:szCs w:val="20"/>
          <w:vertAlign w:val="superscript"/>
        </w:rPr>
        <w:t xml:space="preserve">st </w:t>
      </w:r>
      <w:r>
        <w:rPr>
          <w:rFonts w:ascii="Times New Roman" w:eastAsia="Times New Roman" w:hAnsi="Times New Roman" w:cs="Times New Roman"/>
          <w:sz w:val="20"/>
          <w:szCs w:val="20"/>
        </w:rPr>
        <w:t>extraordinary College Affairs Council meeting on Nov 17, 2011</w:t>
      </w:r>
    </w:p>
    <w:p w14:paraId="00000007" w14:textId="77777777" w:rsidR="00035C71" w:rsidRPr="00BF1C0C" w:rsidRDefault="00457234" w:rsidP="00BF1C0C">
      <w:pPr>
        <w:tabs>
          <w:tab w:val="left" w:pos="8641"/>
        </w:tabs>
        <w:spacing w:line="235" w:lineRule="auto"/>
        <w:ind w:left="595" w:rightChars="61" w:right="134" w:firstLine="1531"/>
        <w:jc w:val="right"/>
        <w:rPr>
          <w:rFonts w:ascii="標楷體" w:eastAsia="標楷體" w:hAnsi="標楷體" w:cs="BiauKai"/>
          <w:sz w:val="20"/>
          <w:szCs w:val="20"/>
        </w:rPr>
      </w:pPr>
      <w:r w:rsidRPr="00BF1C0C">
        <w:rPr>
          <w:rFonts w:ascii="標楷體" w:eastAsia="標楷體" w:hAnsi="標楷體" w:cs="BiauKai"/>
          <w:sz w:val="20"/>
          <w:szCs w:val="20"/>
        </w:rPr>
        <w:t>中華民國103年11月5日103學年度第1次院務會議修正通過全份條文</w:t>
      </w:r>
    </w:p>
    <w:p w14:paraId="00000008" w14:textId="77777777" w:rsidR="00035C71" w:rsidRDefault="00457234">
      <w:pPr>
        <w:spacing w:line="235" w:lineRule="auto"/>
        <w:ind w:right="1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Amended and approved all Articles at the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College Affairs Council meeting on Nov 5, 2014</w:t>
      </w:r>
    </w:p>
    <w:p w14:paraId="00000009" w14:textId="77777777" w:rsidR="00035C71" w:rsidRPr="00AC1FAD" w:rsidRDefault="00457234">
      <w:pPr>
        <w:spacing w:line="235" w:lineRule="auto"/>
        <w:ind w:left="594" w:right="109" w:firstLine="2808"/>
        <w:jc w:val="right"/>
        <w:rPr>
          <w:rFonts w:ascii="標楷體" w:eastAsia="標楷體" w:hAnsi="標楷體" w:cs="BiauKai"/>
          <w:sz w:val="20"/>
          <w:szCs w:val="20"/>
        </w:rPr>
      </w:pPr>
      <w:r w:rsidRPr="00AC1FAD">
        <w:rPr>
          <w:rFonts w:ascii="標楷體" w:eastAsia="標楷體" w:hAnsi="標楷體" w:cs="BiauKai"/>
          <w:sz w:val="20"/>
          <w:szCs w:val="20"/>
        </w:rPr>
        <w:t>中華民國105年10月05日105學年度第1次院務會議修正通過</w:t>
      </w:r>
    </w:p>
    <w:p w14:paraId="0000000A" w14:textId="34F5C843" w:rsidR="00035C71" w:rsidRPr="00AC1FAD" w:rsidRDefault="00457234">
      <w:pPr>
        <w:spacing w:line="235" w:lineRule="auto"/>
        <w:ind w:left="594" w:right="109"/>
        <w:jc w:val="right"/>
        <w:rPr>
          <w:rFonts w:ascii="Times New Roman" w:eastAsia="Times New Roman" w:hAnsi="Times New Roman" w:cs="Times New Roman"/>
          <w:sz w:val="20"/>
          <w:szCs w:val="20"/>
        </w:rPr>
      </w:pPr>
      <w:r w:rsidRPr="00AC1FAD">
        <w:rPr>
          <w:rFonts w:ascii="Times New Roman" w:eastAsia="Times New Roman" w:hAnsi="Times New Roman" w:cs="Times New Roman"/>
          <w:sz w:val="20"/>
          <w:szCs w:val="20"/>
        </w:rPr>
        <w:t>Amended and approved at the 1</w:t>
      </w:r>
      <w:r w:rsidRPr="00AC1FAD">
        <w:rPr>
          <w:rFonts w:ascii="Times New Roman" w:eastAsia="Times New Roman" w:hAnsi="Times New Roman" w:cs="Times New Roman"/>
          <w:sz w:val="20"/>
          <w:szCs w:val="20"/>
          <w:vertAlign w:val="superscript"/>
        </w:rPr>
        <w:t>st</w:t>
      </w:r>
      <w:r w:rsidRPr="00AC1FAD">
        <w:rPr>
          <w:rFonts w:ascii="Times New Roman" w:eastAsia="Times New Roman" w:hAnsi="Times New Roman" w:cs="Times New Roman"/>
          <w:sz w:val="20"/>
          <w:szCs w:val="20"/>
        </w:rPr>
        <w:t xml:space="preserve"> College Affairs Council meeting on Oct 5, 2016</w:t>
      </w:r>
    </w:p>
    <w:p w14:paraId="54109266" w14:textId="1777B2CD" w:rsidR="00AC1FAD" w:rsidRDefault="00AC1FAD">
      <w:pPr>
        <w:spacing w:line="235" w:lineRule="auto"/>
        <w:ind w:left="594" w:right="109"/>
        <w:jc w:val="right"/>
        <w:rPr>
          <w:rFonts w:ascii="標楷體" w:eastAsia="標楷體" w:hAnsi="標楷體" w:cs="BiauKai"/>
          <w:sz w:val="20"/>
          <w:szCs w:val="20"/>
        </w:rPr>
      </w:pPr>
      <w:r w:rsidRPr="00AC1FAD">
        <w:rPr>
          <w:rFonts w:ascii="標楷體" w:eastAsia="標楷體" w:hAnsi="標楷體" w:cs="BiauKai" w:hint="eastAsia"/>
          <w:sz w:val="20"/>
          <w:szCs w:val="20"/>
        </w:rPr>
        <w:t>中華民國</w:t>
      </w:r>
      <w:r w:rsidRPr="00AC1FAD">
        <w:rPr>
          <w:rFonts w:ascii="標楷體" w:eastAsia="標楷體" w:hAnsi="標楷體" w:cs="BiauKai"/>
          <w:sz w:val="20"/>
          <w:szCs w:val="20"/>
        </w:rPr>
        <w:t xml:space="preserve">111 </w:t>
      </w:r>
      <w:r w:rsidRPr="00AC1FAD">
        <w:rPr>
          <w:rFonts w:ascii="標楷體" w:eastAsia="標楷體" w:hAnsi="標楷體" w:cs="BiauKai" w:hint="eastAsia"/>
          <w:sz w:val="20"/>
          <w:szCs w:val="20"/>
        </w:rPr>
        <w:t>年</w:t>
      </w:r>
      <w:r w:rsidRPr="00AC1FAD">
        <w:rPr>
          <w:rFonts w:ascii="標楷體" w:eastAsia="標楷體" w:hAnsi="標楷體" w:cs="BiauKai"/>
          <w:sz w:val="20"/>
          <w:szCs w:val="20"/>
        </w:rPr>
        <w:t xml:space="preserve">12 </w:t>
      </w:r>
      <w:r w:rsidRPr="00AC1FAD">
        <w:rPr>
          <w:rFonts w:ascii="標楷體" w:eastAsia="標楷體" w:hAnsi="標楷體" w:cs="BiauKai" w:hint="eastAsia"/>
          <w:sz w:val="20"/>
          <w:szCs w:val="20"/>
        </w:rPr>
        <w:t>月</w:t>
      </w:r>
      <w:r w:rsidRPr="00AC1FAD">
        <w:rPr>
          <w:rFonts w:ascii="標楷體" w:eastAsia="標楷體" w:hAnsi="標楷體" w:cs="BiauKai"/>
          <w:sz w:val="20"/>
          <w:szCs w:val="20"/>
        </w:rPr>
        <w:t xml:space="preserve">21 </w:t>
      </w:r>
      <w:r w:rsidRPr="00AC1FAD">
        <w:rPr>
          <w:rFonts w:ascii="標楷體" w:eastAsia="標楷體" w:hAnsi="標楷體" w:cs="BiauKai" w:hint="eastAsia"/>
          <w:sz w:val="20"/>
          <w:szCs w:val="20"/>
        </w:rPr>
        <w:t>日</w:t>
      </w:r>
      <w:r w:rsidRPr="00AC1FAD">
        <w:rPr>
          <w:rFonts w:ascii="標楷體" w:eastAsia="標楷體" w:hAnsi="標楷體" w:cs="BiauKai"/>
          <w:sz w:val="20"/>
          <w:szCs w:val="20"/>
        </w:rPr>
        <w:t xml:space="preserve">111 </w:t>
      </w:r>
      <w:r w:rsidRPr="00AC1FAD">
        <w:rPr>
          <w:rFonts w:ascii="標楷體" w:eastAsia="標楷體" w:hAnsi="標楷體" w:cs="BiauKai" w:hint="eastAsia"/>
          <w:sz w:val="20"/>
          <w:szCs w:val="20"/>
        </w:rPr>
        <w:t>學年度第</w:t>
      </w:r>
      <w:r w:rsidRPr="00AC1FAD">
        <w:rPr>
          <w:rFonts w:ascii="標楷體" w:eastAsia="標楷體" w:hAnsi="標楷體" w:cs="BiauKai"/>
          <w:sz w:val="20"/>
          <w:szCs w:val="20"/>
        </w:rPr>
        <w:t xml:space="preserve">1 </w:t>
      </w:r>
      <w:r w:rsidRPr="00AC1FAD">
        <w:rPr>
          <w:rFonts w:ascii="標楷體" w:eastAsia="標楷體" w:hAnsi="標楷體" w:cs="BiauKai" w:hint="eastAsia"/>
          <w:sz w:val="20"/>
          <w:szCs w:val="20"/>
        </w:rPr>
        <w:t>次院務會議修正通過（第</w:t>
      </w:r>
      <w:r w:rsidRPr="00AC1FAD">
        <w:rPr>
          <w:rFonts w:ascii="標楷體" w:eastAsia="標楷體" w:hAnsi="標楷體" w:cs="BiauKai"/>
          <w:sz w:val="20"/>
          <w:szCs w:val="20"/>
        </w:rPr>
        <w:t>1</w:t>
      </w:r>
      <w:r w:rsidRPr="00AC1FAD">
        <w:rPr>
          <w:rFonts w:ascii="標楷體" w:eastAsia="標楷體" w:hAnsi="標楷體" w:cs="BiauKai" w:hint="eastAsia"/>
          <w:sz w:val="20"/>
          <w:szCs w:val="20"/>
        </w:rPr>
        <w:t>、</w:t>
      </w:r>
      <w:r w:rsidRPr="00AC1FAD">
        <w:rPr>
          <w:rFonts w:ascii="標楷體" w:eastAsia="標楷體" w:hAnsi="標楷體" w:cs="BiauKai"/>
          <w:sz w:val="20"/>
          <w:szCs w:val="20"/>
        </w:rPr>
        <w:t xml:space="preserve">2 </w:t>
      </w:r>
      <w:r w:rsidRPr="00AC1FAD">
        <w:rPr>
          <w:rFonts w:ascii="標楷體" w:eastAsia="標楷體" w:hAnsi="標楷體" w:cs="BiauKai" w:hint="eastAsia"/>
          <w:sz w:val="20"/>
          <w:szCs w:val="20"/>
        </w:rPr>
        <w:t>條）</w:t>
      </w:r>
    </w:p>
    <w:p w14:paraId="15290E5D" w14:textId="35C71011" w:rsidR="00AC1FAD" w:rsidRDefault="00AC1FAD" w:rsidP="00AC1FAD">
      <w:pPr>
        <w:spacing w:line="235" w:lineRule="auto"/>
        <w:ind w:left="594" w:right="109"/>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Amended and approved at the 1</w:t>
      </w:r>
      <w:r>
        <w:rPr>
          <w:rFonts w:ascii="Times New Roman" w:eastAsia="Times New Roman" w:hAnsi="Times New Roman" w:cs="Times New Roman"/>
          <w:color w:val="FF0000"/>
          <w:sz w:val="20"/>
          <w:szCs w:val="20"/>
          <w:vertAlign w:val="superscript"/>
        </w:rPr>
        <w:t>st</w:t>
      </w:r>
      <w:r>
        <w:rPr>
          <w:rFonts w:ascii="Times New Roman" w:eastAsia="Times New Roman" w:hAnsi="Times New Roman" w:cs="Times New Roman"/>
          <w:color w:val="FF0000"/>
          <w:sz w:val="20"/>
          <w:szCs w:val="20"/>
        </w:rPr>
        <w:t xml:space="preserve"> College Affa</w:t>
      </w:r>
      <w:r w:rsidRPr="00AC1FAD">
        <w:rPr>
          <w:rFonts w:ascii="Times New Roman" w:eastAsia="Times New Roman" w:hAnsi="Times New Roman" w:cs="Times New Roman"/>
          <w:color w:val="FF0000"/>
          <w:sz w:val="20"/>
          <w:szCs w:val="20"/>
        </w:rPr>
        <w:t xml:space="preserve">irs Council meeting on </w:t>
      </w:r>
      <w:r w:rsidRPr="00AC1FAD">
        <w:rPr>
          <w:rFonts w:ascii="Times New Roman" w:eastAsia="Times New Roman" w:hAnsi="Times New Roman" w:cs="Times New Roman"/>
          <w:color w:val="FF0000"/>
          <w:sz w:val="20"/>
          <w:szCs w:val="20"/>
        </w:rPr>
        <w:t>Dec</w:t>
      </w:r>
      <w:r w:rsidRPr="00AC1FAD">
        <w:rPr>
          <w:rFonts w:ascii="Times New Roman" w:eastAsia="Times New Roman" w:hAnsi="Times New Roman" w:cs="Times New Roman"/>
          <w:color w:val="FF0000"/>
          <w:sz w:val="20"/>
          <w:szCs w:val="20"/>
        </w:rPr>
        <w:t xml:space="preserve"> </w:t>
      </w:r>
      <w:r w:rsidRPr="00AC1FAD">
        <w:rPr>
          <w:rFonts w:ascii="Times New Roman" w:eastAsia="Times New Roman" w:hAnsi="Times New Roman" w:cs="Times New Roman"/>
          <w:color w:val="FF0000"/>
          <w:sz w:val="20"/>
          <w:szCs w:val="20"/>
        </w:rPr>
        <w:t>21</w:t>
      </w:r>
      <w:r w:rsidRPr="00AC1FAD">
        <w:rPr>
          <w:rFonts w:ascii="Times New Roman" w:eastAsia="Times New Roman" w:hAnsi="Times New Roman" w:cs="Times New Roman"/>
          <w:color w:val="FF0000"/>
          <w:sz w:val="20"/>
          <w:szCs w:val="20"/>
        </w:rPr>
        <w:t xml:space="preserve">, </w:t>
      </w:r>
      <w:r w:rsidRPr="00AC1FAD">
        <w:rPr>
          <w:rFonts w:ascii="Times New Roman" w:eastAsia="Times New Roman" w:hAnsi="Times New Roman" w:cs="Times New Roman"/>
          <w:color w:val="FF0000"/>
          <w:sz w:val="20"/>
          <w:szCs w:val="20"/>
        </w:rPr>
        <w:t>2022</w:t>
      </w:r>
      <w:r w:rsidRPr="00AC1FAD">
        <w:rPr>
          <w:rFonts w:ascii="Times New Roman" w:eastAsia="標楷體" w:hAnsi="Times New Roman"/>
          <w:color w:val="FF0000"/>
          <w:sz w:val="20"/>
          <w:szCs w:val="20"/>
        </w:rPr>
        <w:t xml:space="preserve">(Article </w:t>
      </w:r>
      <w:r w:rsidRPr="00AC1FAD">
        <w:rPr>
          <w:rFonts w:ascii="Times New Roman" w:eastAsia="標楷體" w:hAnsi="Times New Roman"/>
          <w:color w:val="FF0000"/>
          <w:sz w:val="20"/>
          <w:szCs w:val="20"/>
        </w:rPr>
        <w:t>1, 2</w:t>
      </w:r>
      <w:r w:rsidRPr="00AC1FAD">
        <w:rPr>
          <w:rFonts w:ascii="Times New Roman" w:eastAsia="標楷體" w:hAnsi="Times New Roman"/>
          <w:color w:val="FF0000"/>
          <w:sz w:val="20"/>
          <w:szCs w:val="20"/>
        </w:rPr>
        <w:t>)</w:t>
      </w:r>
    </w:p>
    <w:p w14:paraId="0000000B" w14:textId="77777777" w:rsidR="00035C71" w:rsidRDefault="00035C71">
      <w:pPr>
        <w:spacing w:before="8"/>
        <w:rPr>
          <w:rFonts w:ascii="BiauKai" w:eastAsia="BiauKai" w:hAnsi="BiauKai" w:cs="BiauKai"/>
          <w:sz w:val="16"/>
          <w:szCs w:val="16"/>
        </w:rPr>
      </w:pPr>
    </w:p>
    <w:p w14:paraId="0000000C" w14:textId="77777777" w:rsidR="00035C71" w:rsidRPr="00BF1C0C" w:rsidRDefault="00457234">
      <w:pPr>
        <w:pBdr>
          <w:top w:val="nil"/>
          <w:left w:val="nil"/>
          <w:bottom w:val="nil"/>
          <w:right w:val="nil"/>
          <w:between w:val="nil"/>
        </w:pBdr>
        <w:ind w:left="114" w:right="110" w:firstLine="480"/>
        <w:jc w:val="both"/>
        <w:rPr>
          <w:rFonts w:ascii="標楷體" w:eastAsia="標楷體" w:hAnsi="標楷體" w:cs="BiauKai"/>
          <w:sz w:val="24"/>
          <w:szCs w:val="24"/>
        </w:rPr>
      </w:pPr>
      <w:r w:rsidRPr="00BF1C0C">
        <w:rPr>
          <w:rFonts w:ascii="標楷體" w:eastAsia="標楷體" w:hAnsi="標楷體" w:cs="BiauKai"/>
          <w:sz w:val="24"/>
          <w:szCs w:val="24"/>
        </w:rPr>
        <w:t>本院教師之學術著作，應</w:t>
      </w:r>
      <w:r w:rsidRPr="00BF1C0C">
        <w:rPr>
          <w:rFonts w:ascii="標楷體" w:eastAsia="標楷體" w:hAnsi="標楷體" w:cs="新細明體"/>
          <w:sz w:val="24"/>
          <w:szCs w:val="24"/>
        </w:rPr>
        <w:t>參</w:t>
      </w:r>
      <w:r w:rsidRPr="00BF1C0C">
        <w:rPr>
          <w:rFonts w:ascii="標楷體" w:eastAsia="標楷體" w:hAnsi="標楷體" w:cs="BiauKai"/>
          <w:sz w:val="24"/>
          <w:szCs w:val="24"/>
        </w:rPr>
        <w:t>考下</w:t>
      </w:r>
      <w:r w:rsidRPr="00BF1C0C">
        <w:rPr>
          <w:rFonts w:ascii="標楷體" w:eastAsia="標楷體" w:hAnsi="標楷體" w:cs="新細明體"/>
          <w:sz w:val="24"/>
          <w:szCs w:val="24"/>
        </w:rPr>
        <w:t>列</w:t>
      </w:r>
      <w:r w:rsidRPr="00BF1C0C">
        <w:rPr>
          <w:rFonts w:ascii="標楷體" w:eastAsia="標楷體" w:hAnsi="標楷體" w:cs="BiauKai"/>
          <w:sz w:val="24"/>
          <w:szCs w:val="24"/>
        </w:rPr>
        <w:t>標準，</w:t>
      </w:r>
      <w:r w:rsidRPr="00BF1C0C">
        <w:rPr>
          <w:rFonts w:ascii="標楷體" w:eastAsia="標楷體" w:hAnsi="標楷體" w:cs="新細明體"/>
          <w:sz w:val="24"/>
          <w:szCs w:val="24"/>
        </w:rPr>
        <w:t>若</w:t>
      </w:r>
      <w:r w:rsidRPr="00BF1C0C">
        <w:rPr>
          <w:rFonts w:ascii="標楷體" w:eastAsia="標楷體" w:hAnsi="標楷體" w:cs="BiauKai"/>
          <w:sz w:val="24"/>
          <w:szCs w:val="24"/>
        </w:rPr>
        <w:t>於上一職級任內之著作，</w:t>
      </w:r>
      <w:r w:rsidRPr="00BF1C0C">
        <w:rPr>
          <w:rFonts w:ascii="標楷體" w:eastAsia="標楷體" w:hAnsi="標楷體" w:cs="新細明體"/>
          <w:sz w:val="24"/>
          <w:szCs w:val="24"/>
        </w:rPr>
        <w:t>不</w:t>
      </w:r>
      <w:r w:rsidRPr="00BF1C0C">
        <w:rPr>
          <w:rFonts w:ascii="標楷體" w:eastAsia="標楷體" w:hAnsi="標楷體" w:cs="BiauKai"/>
          <w:sz w:val="24"/>
          <w:szCs w:val="24"/>
        </w:rPr>
        <w:t>予採認。每一學術成果項目是否適用於某項學術資格，其適用之時效、認定程序，及其在整體研究成果中之比重，均依校、院、系(所、學位學程)之相關規定辦</w:t>
      </w:r>
      <w:r w:rsidRPr="00BF1C0C">
        <w:rPr>
          <w:rFonts w:ascii="標楷體" w:eastAsia="標楷體" w:hAnsi="標楷體" w:cs="新細明體"/>
          <w:sz w:val="24"/>
          <w:szCs w:val="24"/>
        </w:rPr>
        <w:t>理</w:t>
      </w:r>
      <w:r w:rsidRPr="00BF1C0C">
        <w:rPr>
          <w:rFonts w:ascii="標楷體" w:eastAsia="標楷體" w:hAnsi="標楷體" w:cs="BiauKai"/>
          <w:sz w:val="24"/>
          <w:szCs w:val="24"/>
        </w:rPr>
        <w:t>。</w:t>
      </w:r>
    </w:p>
    <w:p w14:paraId="0000000D" w14:textId="77777777" w:rsidR="00035C71" w:rsidRDefault="00457234">
      <w:pPr>
        <w:pBdr>
          <w:top w:val="nil"/>
          <w:left w:val="nil"/>
          <w:bottom w:val="nil"/>
          <w:right w:val="nil"/>
          <w:between w:val="nil"/>
        </w:pBdr>
        <w:ind w:left="114" w:right="11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academic publications of the faculty at this college shall conform to the following criteria. Publications from the last position shall not be recognized. The applicability of every academic outcome on certain academic qualification, and its duration, accreditation procedures, and the percentage among the whole research, are dealt with according to the relevant regulations of the university, college, and department (institute/degree program).</w:t>
      </w:r>
    </w:p>
    <w:p w14:paraId="0000000E" w14:textId="77777777" w:rsidR="00035C71" w:rsidRPr="00BF1C0C" w:rsidRDefault="00457234">
      <w:pPr>
        <w:pBdr>
          <w:top w:val="nil"/>
          <w:left w:val="nil"/>
          <w:bottom w:val="nil"/>
          <w:right w:val="nil"/>
          <w:between w:val="nil"/>
        </w:pBdr>
        <w:spacing w:before="120"/>
        <w:ind w:left="113"/>
        <w:rPr>
          <w:rFonts w:ascii="標楷體" w:eastAsia="標楷體" w:hAnsi="標楷體" w:cs="BiauKai"/>
          <w:sz w:val="24"/>
          <w:szCs w:val="24"/>
        </w:rPr>
      </w:pPr>
      <w:r w:rsidRPr="00BF1C0C">
        <w:rPr>
          <w:rFonts w:ascii="標楷體" w:eastAsia="標楷體" w:hAnsi="標楷體" w:cs="BiauKai"/>
          <w:sz w:val="24"/>
          <w:szCs w:val="24"/>
        </w:rPr>
        <w:t>一、專書</w:t>
      </w:r>
    </w:p>
    <w:p w14:paraId="0000000F" w14:textId="2C6A7E24" w:rsidR="00035C71" w:rsidRPr="00BF1C0C" w:rsidRDefault="00457234">
      <w:pPr>
        <w:pBdr>
          <w:top w:val="nil"/>
          <w:left w:val="nil"/>
          <w:bottom w:val="nil"/>
          <w:right w:val="nil"/>
          <w:between w:val="nil"/>
        </w:pBdr>
        <w:tabs>
          <w:tab w:val="left" w:pos="1553"/>
        </w:tabs>
        <w:ind w:left="1416" w:hanging="708"/>
        <w:rPr>
          <w:rFonts w:ascii="標楷體" w:eastAsia="標楷體" w:hAnsi="標楷體" w:cs="BiauKai"/>
          <w:sz w:val="24"/>
          <w:szCs w:val="24"/>
        </w:rPr>
      </w:pPr>
      <w:r w:rsidRPr="00BF1C0C">
        <w:rPr>
          <w:rFonts w:ascii="標楷體" w:eastAsia="標楷體" w:hAnsi="標楷體" w:cs="BiauKai"/>
          <w:sz w:val="24"/>
          <w:szCs w:val="24"/>
        </w:rPr>
        <w:t>（一）主題專書：聚焦於一學術主題之專書著作，由具有審查機制的出版單位出版（該單位須有委員五人以上組成之編輯委員會，出版前送請至少兩位評審以匿名方式審查），或由相當等級之國際出版單位出版，均附審查報告及作者修訂回覆函件</w:t>
      </w:r>
      <w:r w:rsidR="00BF1C0C" w:rsidRPr="00BF1C0C">
        <w:rPr>
          <w:rFonts w:ascii="標楷體" w:eastAsia="標楷體" w:hAnsi="標楷體" w:cs="BiauKai" w:hint="eastAsia"/>
          <w:color w:val="FF0000"/>
          <w:sz w:val="24"/>
          <w:szCs w:val="24"/>
          <w:u w:val="single"/>
        </w:rPr>
        <w:t>（如無修訂回覆函件，須檢附說明）</w:t>
      </w:r>
      <w:r w:rsidR="00BF1C0C" w:rsidRPr="00BF1C0C">
        <w:rPr>
          <w:rFonts w:ascii="標楷體" w:eastAsia="標楷體" w:hAnsi="標楷體" w:cs="BiauKai" w:hint="eastAsia"/>
          <w:sz w:val="24"/>
          <w:szCs w:val="24"/>
        </w:rPr>
        <w:t>。</w:t>
      </w:r>
    </w:p>
    <w:p w14:paraId="00000010" w14:textId="59FA5588" w:rsidR="00035C71" w:rsidRPr="00BF1C0C" w:rsidRDefault="00457234">
      <w:pPr>
        <w:pBdr>
          <w:top w:val="nil"/>
          <w:left w:val="nil"/>
          <w:bottom w:val="nil"/>
          <w:right w:val="nil"/>
          <w:between w:val="nil"/>
        </w:pBdr>
        <w:ind w:left="1316" w:right="108" w:hanging="726"/>
        <w:jc w:val="both"/>
        <w:rPr>
          <w:rFonts w:ascii="標楷體" w:eastAsia="標楷體" w:hAnsi="標楷體" w:cs="BiauKai"/>
          <w:sz w:val="24"/>
          <w:szCs w:val="24"/>
        </w:rPr>
      </w:pPr>
      <w:r w:rsidRPr="00BF1C0C">
        <w:rPr>
          <w:rFonts w:ascii="標楷體" w:eastAsia="標楷體" w:hAnsi="標楷體" w:cs="BiauKai"/>
          <w:sz w:val="24"/>
          <w:szCs w:val="24"/>
        </w:rPr>
        <w:t>（二）主題論文集：將個人五年內系統性研究成果增潤、修改後結集成書，且其中應有一篇以上或一部分曾於五年內發表於二級以上期刊。論文集須由具審查機制的出 版單位出版（該單位須有委員五人以上組成之編輯委員會，出版前送請至少兩位評審以匿名方式審查），或由相當等級之國際出版單位出版，均附審查報告及作者修訂回覆函件。論文集內所收之論文不得以單篇論文在同一案中重複計入</w:t>
      </w:r>
      <w:r w:rsidR="00BF1C0C" w:rsidRPr="00BF1C0C">
        <w:rPr>
          <w:rFonts w:ascii="標楷體" w:eastAsia="標楷體" w:hAnsi="標楷體" w:cs="BiauKai" w:hint="eastAsia"/>
          <w:color w:val="FF0000"/>
          <w:sz w:val="24"/>
          <w:szCs w:val="24"/>
          <w:u w:val="single"/>
        </w:rPr>
        <w:t>（如無修訂回覆函件，須檢附說明）</w:t>
      </w:r>
      <w:r w:rsidR="00BF1C0C" w:rsidRPr="00BF1C0C">
        <w:rPr>
          <w:rFonts w:ascii="標楷體" w:eastAsia="標楷體" w:hAnsi="標楷體" w:cs="BiauKai" w:hint="eastAsia"/>
          <w:sz w:val="24"/>
          <w:szCs w:val="24"/>
        </w:rPr>
        <w:t>。</w:t>
      </w:r>
    </w:p>
    <w:p w14:paraId="00000011" w14:textId="17800FE0" w:rsidR="00035C71" w:rsidRPr="00AC1FAD" w:rsidRDefault="00457234" w:rsidP="00AC1FAD">
      <w:pPr>
        <w:pStyle w:val="a5"/>
        <w:numPr>
          <w:ilvl w:val="0"/>
          <w:numId w:val="7"/>
        </w:numPr>
        <w:pBdr>
          <w:top w:val="nil"/>
          <w:left w:val="nil"/>
          <w:bottom w:val="nil"/>
          <w:right w:val="nil"/>
          <w:between w:val="nil"/>
        </w:pBdr>
        <w:ind w:right="111"/>
        <w:rPr>
          <w:rFonts w:ascii="Times New Roman" w:eastAsia="Times New Roman" w:hAnsi="Times New Roman" w:cs="Times New Roman"/>
          <w:color w:val="000000"/>
          <w:sz w:val="24"/>
          <w:szCs w:val="24"/>
        </w:rPr>
      </w:pPr>
      <w:r w:rsidRPr="00AC1FAD">
        <w:rPr>
          <w:rFonts w:ascii="Times New Roman" w:eastAsia="Times New Roman" w:hAnsi="Times New Roman" w:cs="Times New Roman"/>
          <w:color w:val="000000"/>
          <w:sz w:val="24"/>
          <w:szCs w:val="24"/>
        </w:rPr>
        <w:t>Monographs</w:t>
      </w:r>
    </w:p>
    <w:p w14:paraId="00000012" w14:textId="4B26F8A1" w:rsidR="00035C71" w:rsidRDefault="00457234">
      <w:pPr>
        <w:numPr>
          <w:ilvl w:val="0"/>
          <w:numId w:val="4"/>
        </w:numPr>
        <w:pBdr>
          <w:top w:val="nil"/>
          <w:left w:val="nil"/>
          <w:bottom w:val="nil"/>
          <w:right w:val="nil"/>
          <w:between w:val="nil"/>
        </w:pBdr>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Thematic Monographs: The monograph shall either concentrate on one academic subject and has been published by a publisher with review mechanism (there shall be an editorial board consists of five or more members, and at least two reviewers must review anonymously before publishing), or published by an international publisher of equivalent level, with review reports and response letters of the author’s revisions</w:t>
      </w:r>
      <w:r w:rsidR="00BF1C0C">
        <w:rPr>
          <w:rFonts w:asciiTheme="minorEastAsia" w:hAnsiTheme="minorEastAsia" w:cs="Times New Roman" w:hint="eastAsia"/>
          <w:color w:val="000000"/>
          <w:sz w:val="24"/>
          <w:szCs w:val="24"/>
        </w:rPr>
        <w:t xml:space="preserve"> </w:t>
      </w:r>
      <w:r w:rsidR="00BF1C0C" w:rsidRPr="00BF1C0C">
        <w:rPr>
          <w:rFonts w:ascii="Times New Roman" w:eastAsia="Times New Roman" w:hAnsi="Times New Roman" w:cs="Times New Roman"/>
          <w:color w:val="FF0000"/>
          <w:sz w:val="24"/>
          <w:szCs w:val="24"/>
        </w:rPr>
        <w:t>(explanations are required if there are no response letters of the revisions)</w:t>
      </w:r>
      <w:r w:rsidR="00BF1C0C" w:rsidRPr="00BF1C0C">
        <w:rPr>
          <w:rFonts w:ascii="Times New Roman" w:eastAsia="Times New Roman" w:hAnsi="Times New Roman" w:cs="Times New Roman"/>
          <w:sz w:val="24"/>
          <w:szCs w:val="24"/>
        </w:rPr>
        <w:t>.</w:t>
      </w:r>
    </w:p>
    <w:p w14:paraId="00000013" w14:textId="5380377E" w:rsidR="00035C71" w:rsidRDefault="00457234">
      <w:pPr>
        <w:numPr>
          <w:ilvl w:val="0"/>
          <w:numId w:val="4"/>
        </w:numPr>
        <w:pBdr>
          <w:top w:val="nil"/>
          <w:left w:val="nil"/>
          <w:bottom w:val="nil"/>
          <w:right w:val="nil"/>
          <w:between w:val="nil"/>
        </w:pBdr>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Thematic Collected Papers: A book composed of systematic research and revisions by oneself within five years, among which at least one paper or one part must be published on a journal ranking at tier-2 or better. The collected papers must be published by a publisher with a review mechanism (there shall be an editorial board consist</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of five or more members, and at least two reviewers must review anonymously before publishing), or published by an international publisher of equivalent level, with review reports and response letters of the author’s revisions. Individual papers which have already been included in the collected papers in the same case shall be deemed redundancy</w:t>
      </w:r>
      <w:r w:rsidR="00BF1C0C">
        <w:rPr>
          <w:rFonts w:asciiTheme="minorEastAsia" w:hAnsiTheme="minorEastAsia" w:cs="Times New Roman" w:hint="eastAsia"/>
          <w:color w:val="000000"/>
          <w:sz w:val="24"/>
          <w:szCs w:val="24"/>
        </w:rPr>
        <w:t xml:space="preserve"> </w:t>
      </w:r>
      <w:r w:rsidR="00BF1C0C" w:rsidRPr="00BF1C0C">
        <w:rPr>
          <w:rFonts w:ascii="Times New Roman" w:eastAsia="Times New Roman" w:hAnsi="Times New Roman" w:cs="Times New Roman"/>
          <w:color w:val="FF0000"/>
          <w:sz w:val="24"/>
          <w:szCs w:val="24"/>
        </w:rPr>
        <w:t xml:space="preserve">(explanations are required if there are no response </w:t>
      </w:r>
      <w:r w:rsidR="00BF1C0C" w:rsidRPr="00BF1C0C">
        <w:rPr>
          <w:rFonts w:ascii="Times New Roman" w:eastAsia="Times New Roman" w:hAnsi="Times New Roman" w:cs="Times New Roman"/>
          <w:color w:val="FF0000"/>
          <w:sz w:val="24"/>
          <w:szCs w:val="24"/>
        </w:rPr>
        <w:lastRenderedPageBreak/>
        <w:t>letters of the revisions)</w:t>
      </w:r>
      <w:r w:rsidR="00BF1C0C" w:rsidRPr="00BF1C0C">
        <w:rPr>
          <w:rFonts w:ascii="Times New Roman" w:eastAsia="Times New Roman" w:hAnsi="Times New Roman" w:cs="Times New Roman"/>
          <w:sz w:val="24"/>
          <w:szCs w:val="24"/>
        </w:rPr>
        <w:t>.</w:t>
      </w:r>
      <w:r w:rsidRPr="00BF1C0C">
        <w:rPr>
          <w:rFonts w:ascii="Times New Roman" w:eastAsia="Times New Roman" w:hAnsi="Times New Roman" w:cs="Times New Roman"/>
          <w:sz w:val="24"/>
          <w:szCs w:val="24"/>
        </w:rPr>
        <w:t xml:space="preserve"> </w:t>
      </w:r>
    </w:p>
    <w:p w14:paraId="00000014" w14:textId="77777777" w:rsidR="00035C71" w:rsidRPr="00BF1C0C" w:rsidRDefault="00457234">
      <w:pPr>
        <w:pBdr>
          <w:top w:val="nil"/>
          <w:left w:val="nil"/>
          <w:bottom w:val="nil"/>
          <w:right w:val="nil"/>
          <w:between w:val="nil"/>
        </w:pBdr>
        <w:spacing w:before="120"/>
        <w:ind w:left="113"/>
        <w:rPr>
          <w:rFonts w:ascii="標楷體" w:eastAsia="標楷體" w:hAnsi="標楷體" w:cs="BiauKai"/>
          <w:sz w:val="24"/>
          <w:szCs w:val="24"/>
        </w:rPr>
      </w:pPr>
      <w:r w:rsidRPr="00BF1C0C">
        <w:rPr>
          <w:rFonts w:ascii="標楷體" w:eastAsia="標楷體" w:hAnsi="標楷體" w:cs="BiauKai"/>
          <w:sz w:val="24"/>
          <w:szCs w:val="24"/>
        </w:rPr>
        <w:t>二、期刊論文</w:t>
      </w:r>
    </w:p>
    <w:p w14:paraId="00000015" w14:textId="77777777" w:rsidR="00035C71" w:rsidRPr="00BF1C0C" w:rsidRDefault="00457234">
      <w:pPr>
        <w:pBdr>
          <w:top w:val="nil"/>
          <w:left w:val="nil"/>
          <w:bottom w:val="nil"/>
          <w:right w:val="nil"/>
          <w:between w:val="nil"/>
        </w:pBdr>
        <w:ind w:left="629"/>
        <w:rPr>
          <w:rFonts w:ascii="標楷體" w:eastAsia="標楷體" w:hAnsi="標楷體" w:cs="BiauKai"/>
          <w:sz w:val="24"/>
          <w:szCs w:val="24"/>
        </w:rPr>
      </w:pPr>
      <w:r w:rsidRPr="00BF1C0C">
        <w:rPr>
          <w:rFonts w:ascii="標楷體" w:eastAsia="標楷體" w:hAnsi="標楷體" w:cs="BiauKai"/>
          <w:sz w:val="24"/>
          <w:szCs w:val="24"/>
        </w:rPr>
        <w:t>登載於學術期刊，具有明確主題與規格化內文體例、註解、書目之論文。期刊等級若有變動，依論文被接受或出版時該期刊所屬等級認定。</w:t>
      </w:r>
    </w:p>
    <w:p w14:paraId="00000016" w14:textId="77777777" w:rsidR="00035C71" w:rsidRPr="00BF1C0C" w:rsidRDefault="00457234">
      <w:pPr>
        <w:pBdr>
          <w:top w:val="nil"/>
          <w:left w:val="nil"/>
          <w:bottom w:val="nil"/>
          <w:right w:val="nil"/>
          <w:between w:val="nil"/>
        </w:pBdr>
        <w:ind w:left="590"/>
        <w:rPr>
          <w:rFonts w:ascii="標楷體" w:eastAsia="標楷體" w:hAnsi="標楷體" w:cs="BiauKai"/>
          <w:sz w:val="24"/>
          <w:szCs w:val="24"/>
        </w:rPr>
      </w:pPr>
      <w:r w:rsidRPr="00BF1C0C">
        <w:rPr>
          <w:rFonts w:ascii="標楷體" w:eastAsia="標楷體" w:hAnsi="標楷體" w:cs="BiauKai"/>
          <w:sz w:val="24"/>
          <w:szCs w:val="24"/>
        </w:rPr>
        <w:t>（一）一級期刊論文：</w:t>
      </w:r>
    </w:p>
    <w:p w14:paraId="00000017" w14:textId="081464F8" w:rsidR="00035C71" w:rsidRPr="00BF1C0C" w:rsidRDefault="00457234">
      <w:pPr>
        <w:pBdr>
          <w:top w:val="nil"/>
          <w:left w:val="nil"/>
          <w:bottom w:val="nil"/>
          <w:right w:val="nil"/>
          <w:between w:val="nil"/>
        </w:pBdr>
        <w:ind w:left="1330" w:right="107" w:firstLine="11"/>
        <w:rPr>
          <w:rFonts w:ascii="標楷體" w:eastAsia="標楷體" w:hAnsi="標楷體" w:cs="BiauKai"/>
          <w:sz w:val="24"/>
          <w:szCs w:val="24"/>
        </w:rPr>
      </w:pPr>
      <w:r w:rsidRPr="00BF1C0C">
        <w:rPr>
          <w:rFonts w:ascii="標楷體" w:eastAsia="標楷體" w:hAnsi="標楷體" w:cs="BiauKai"/>
          <w:sz w:val="24"/>
          <w:szCs w:val="24"/>
        </w:rPr>
        <w:t>獲</w:t>
      </w:r>
      <w:r w:rsidR="00BF1C0C" w:rsidRPr="00BF1C0C">
        <w:rPr>
          <w:rFonts w:ascii="標楷體" w:eastAsia="標楷體" w:hAnsi="標楷體" w:cs="DFKaiShu-SB-Estd-BF" w:hint="eastAsia"/>
          <w:color w:val="FF0000"/>
          <w:sz w:val="24"/>
          <w:szCs w:val="24"/>
          <w:u w:val="single"/>
        </w:rPr>
        <w:t>國家科學及技術委員會</w:t>
      </w:r>
      <w:r w:rsidRPr="00BF1C0C">
        <w:rPr>
          <w:rFonts w:ascii="標楷體" w:eastAsia="標楷體" w:hAnsi="標楷體" w:cs="BiauKai"/>
          <w:sz w:val="24"/>
          <w:szCs w:val="24"/>
        </w:rPr>
        <w:t>評定之文學一（中國文學、臺灣文學等）學門、文學二（外國文學）學門、語言學門、歷史學門、圖資學門等期刊分級一級（或同級）期刊之論文。 A＆HCI、SSCI、SCI、TSSCI、THCI Core 等期刊資料庫收錄之期刊，或其他得以證明其學術影響力之國際期刊（評量標準包括：審查機制、創刊年代、編輯群 之學術地位及國際聲望等）之論文。</w:t>
      </w:r>
    </w:p>
    <w:p w14:paraId="00000018" w14:textId="77777777" w:rsidR="00035C71" w:rsidRPr="00BF1C0C" w:rsidRDefault="00457234">
      <w:pPr>
        <w:pBdr>
          <w:top w:val="nil"/>
          <w:left w:val="nil"/>
          <w:bottom w:val="nil"/>
          <w:right w:val="nil"/>
          <w:between w:val="nil"/>
        </w:pBdr>
        <w:ind w:left="590"/>
        <w:rPr>
          <w:rFonts w:ascii="標楷體" w:eastAsia="標楷體" w:hAnsi="標楷體" w:cs="BiauKai"/>
          <w:sz w:val="24"/>
          <w:szCs w:val="24"/>
        </w:rPr>
      </w:pPr>
      <w:r w:rsidRPr="00BF1C0C">
        <w:rPr>
          <w:rFonts w:ascii="標楷體" w:eastAsia="標楷體" w:hAnsi="標楷體" w:cs="BiauKai"/>
          <w:sz w:val="24"/>
          <w:szCs w:val="24"/>
        </w:rPr>
        <w:t>（二）二級期刊論文：</w:t>
      </w:r>
    </w:p>
    <w:p w14:paraId="00000019" w14:textId="7AE36288" w:rsidR="00035C71" w:rsidRPr="00BF1C0C" w:rsidRDefault="00457234">
      <w:pPr>
        <w:pBdr>
          <w:top w:val="nil"/>
          <w:left w:val="nil"/>
          <w:bottom w:val="nil"/>
          <w:right w:val="nil"/>
          <w:between w:val="nil"/>
        </w:pBdr>
        <w:ind w:left="1330" w:right="112" w:firstLine="11"/>
        <w:rPr>
          <w:rFonts w:ascii="標楷體" w:eastAsia="標楷體" w:hAnsi="標楷體" w:cs="BiauKai"/>
          <w:sz w:val="24"/>
          <w:szCs w:val="24"/>
        </w:rPr>
      </w:pPr>
      <w:r w:rsidRPr="00BF1C0C">
        <w:rPr>
          <w:rFonts w:ascii="標楷體" w:eastAsia="標楷體" w:hAnsi="標楷體" w:cs="BiauKai"/>
          <w:sz w:val="24"/>
          <w:szCs w:val="24"/>
        </w:rPr>
        <w:t>獲</w:t>
      </w:r>
      <w:r w:rsidR="00BF1C0C" w:rsidRPr="00BF1C0C">
        <w:rPr>
          <w:rFonts w:ascii="標楷體" w:eastAsia="標楷體" w:hAnsi="標楷體" w:cs="DFKaiShu-SB-Estd-BF" w:hint="eastAsia"/>
          <w:color w:val="FF0000"/>
          <w:sz w:val="24"/>
          <w:szCs w:val="24"/>
          <w:u w:val="single"/>
        </w:rPr>
        <w:t>國家科學及技術委員會</w:t>
      </w:r>
      <w:r w:rsidRPr="00BF1C0C">
        <w:rPr>
          <w:rFonts w:ascii="標楷體" w:eastAsia="標楷體" w:hAnsi="標楷體" w:cs="BiauKai"/>
          <w:sz w:val="24"/>
          <w:szCs w:val="24"/>
        </w:rPr>
        <w:t>評定之文學一（中國文學、臺灣文學等）學門、文學二（外國文學）學門、語言學門、歷史學門、圖資學門等期刊分級二級（或同級）期刊之論文。</w:t>
      </w:r>
    </w:p>
    <w:p w14:paraId="0000001A" w14:textId="77777777" w:rsidR="00035C71" w:rsidRPr="00BF1C0C" w:rsidRDefault="00457234">
      <w:pPr>
        <w:pBdr>
          <w:top w:val="nil"/>
          <w:left w:val="nil"/>
          <w:bottom w:val="nil"/>
          <w:right w:val="nil"/>
          <w:between w:val="nil"/>
        </w:pBdr>
        <w:ind w:left="590"/>
        <w:rPr>
          <w:rFonts w:ascii="標楷體" w:eastAsia="標楷體" w:hAnsi="標楷體" w:cs="BiauKai"/>
          <w:sz w:val="24"/>
          <w:szCs w:val="24"/>
        </w:rPr>
      </w:pPr>
      <w:r w:rsidRPr="00BF1C0C">
        <w:rPr>
          <w:rFonts w:ascii="標楷體" w:eastAsia="標楷體" w:hAnsi="標楷體" w:cs="BiauKai"/>
          <w:sz w:val="24"/>
          <w:szCs w:val="24"/>
        </w:rPr>
        <w:t>（三）三級期刊論文：</w:t>
      </w:r>
    </w:p>
    <w:p w14:paraId="0000001B" w14:textId="77777777" w:rsidR="00035C71" w:rsidRPr="00BF1C0C" w:rsidRDefault="00457234">
      <w:pPr>
        <w:pBdr>
          <w:top w:val="nil"/>
          <w:left w:val="nil"/>
          <w:bottom w:val="nil"/>
          <w:right w:val="nil"/>
          <w:between w:val="nil"/>
        </w:pBdr>
        <w:ind w:left="113" w:right="2060" w:firstLine="1228"/>
        <w:rPr>
          <w:rFonts w:ascii="標楷體" w:eastAsia="標楷體" w:hAnsi="標楷體" w:cs="BiauKai"/>
          <w:sz w:val="24"/>
          <w:szCs w:val="24"/>
        </w:rPr>
      </w:pPr>
      <w:r w:rsidRPr="00BF1C0C">
        <w:rPr>
          <w:rFonts w:ascii="標楷體" w:eastAsia="標楷體" w:hAnsi="標楷體" w:cs="BiauKai"/>
          <w:sz w:val="24"/>
          <w:szCs w:val="24"/>
        </w:rPr>
        <w:t>一、二級期刊之外具匿名雙審機制之期刊論文。</w:t>
      </w:r>
    </w:p>
    <w:p w14:paraId="0000001C" w14:textId="77777777" w:rsidR="00035C71" w:rsidRPr="00AC1FAD" w:rsidRDefault="00457234" w:rsidP="00AC1FAD">
      <w:pPr>
        <w:pStyle w:val="a5"/>
        <w:numPr>
          <w:ilvl w:val="0"/>
          <w:numId w:val="7"/>
        </w:numPr>
        <w:pBdr>
          <w:top w:val="nil"/>
          <w:left w:val="nil"/>
          <w:bottom w:val="nil"/>
          <w:right w:val="nil"/>
          <w:between w:val="nil"/>
        </w:pBdr>
        <w:ind w:right="111"/>
        <w:rPr>
          <w:rFonts w:ascii="Times New Roman" w:eastAsia="Times New Roman" w:hAnsi="Times New Roman" w:cs="Times New Roman"/>
          <w:color w:val="000000"/>
          <w:sz w:val="24"/>
          <w:szCs w:val="24"/>
        </w:rPr>
      </w:pPr>
      <w:r w:rsidRPr="00AC1FAD">
        <w:rPr>
          <w:rFonts w:ascii="Times New Roman" w:eastAsia="Times New Roman" w:hAnsi="Times New Roman" w:cs="Times New Roman"/>
          <w:color w:val="000000"/>
          <w:sz w:val="24"/>
          <w:szCs w:val="24"/>
        </w:rPr>
        <w:t>Periodical Articles</w:t>
      </w:r>
    </w:p>
    <w:p w14:paraId="0000001D" w14:textId="77777777" w:rsidR="00035C71" w:rsidRDefault="00457234">
      <w:pPr>
        <w:pBdr>
          <w:top w:val="nil"/>
          <w:left w:val="nil"/>
          <w:bottom w:val="nil"/>
          <w:right w:val="nil"/>
          <w:between w:val="nil"/>
        </w:pBdr>
        <w:ind w:left="480"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papers are published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journals which have definite themes, standardized stylistic rules and layout, annotation, and bibliography. In the cases of tier change, the rank shall be determined by the acceptance or publishing time of the paper.</w:t>
      </w:r>
    </w:p>
    <w:p w14:paraId="0000001E" w14:textId="77777777" w:rsidR="00035C71" w:rsidRDefault="00457234">
      <w:pPr>
        <w:numPr>
          <w:ilvl w:val="0"/>
          <w:numId w:val="2"/>
        </w:numPr>
        <w:pBdr>
          <w:top w:val="nil"/>
          <w:left w:val="nil"/>
          <w:bottom w:val="nil"/>
          <w:right w:val="nil"/>
          <w:between w:val="nil"/>
        </w:pBdr>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Top-tier Periodical Articles:</w:t>
      </w:r>
    </w:p>
    <w:p w14:paraId="0000001F" w14:textId="21A806D8" w:rsidR="00035C71" w:rsidRDefault="00457234">
      <w:pPr>
        <w:pBdr>
          <w:top w:val="nil"/>
          <w:left w:val="nil"/>
          <w:bottom w:val="nil"/>
          <w:right w:val="nil"/>
          <w:between w:val="nil"/>
        </w:pBdr>
        <w:ind w:left="960"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papers are on top-tier or the same tier periodicals ranked by the </w:t>
      </w:r>
      <w:r w:rsidR="00BF1C0C" w:rsidRPr="007A728B">
        <w:rPr>
          <w:rFonts w:ascii="Times New Roman" w:hAnsi="Times New Roman" w:cs="Times New Roman" w:hint="eastAsia"/>
          <w:color w:val="FF0000"/>
          <w:u w:val="single"/>
        </w:rPr>
        <w:t>National Science and Technology Council</w:t>
      </w:r>
      <w:r>
        <w:rPr>
          <w:rFonts w:ascii="Times New Roman" w:eastAsia="Times New Roman" w:hAnsi="Times New Roman" w:cs="Times New Roman"/>
          <w:color w:val="000000"/>
          <w:sz w:val="24"/>
          <w:szCs w:val="24"/>
        </w:rPr>
        <w:t xml:space="preserve"> among such Literature I (Chinese literature, Taiwan literature, and etc.), Literature II (foreign literature), Linguistics, Historiography, Library and Information Science disciplines. These can also be papers in periodicals from periodical databases such as A&amp;HCI, SSCI, SCI, TSSCI, THCI Core, or other international periodicals that have proofs of their academic influences (evaluation criteria includes: review mechanism, year of debut, and the academic standing and international prestige of the editor group)</w:t>
      </w:r>
    </w:p>
    <w:p w14:paraId="00000020" w14:textId="77777777" w:rsidR="00035C71" w:rsidRDefault="00457234">
      <w:pPr>
        <w:numPr>
          <w:ilvl w:val="0"/>
          <w:numId w:val="2"/>
        </w:numPr>
        <w:pBdr>
          <w:top w:val="nil"/>
          <w:left w:val="nil"/>
          <w:bottom w:val="nil"/>
          <w:right w:val="nil"/>
          <w:between w:val="nil"/>
        </w:pBdr>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Tier-2 Periodical Articles:</w:t>
      </w:r>
    </w:p>
    <w:p w14:paraId="00000021" w14:textId="38ACB642" w:rsidR="00035C71" w:rsidRDefault="00457234">
      <w:pPr>
        <w:pBdr>
          <w:top w:val="nil"/>
          <w:left w:val="nil"/>
          <w:bottom w:val="nil"/>
          <w:right w:val="nil"/>
          <w:between w:val="nil"/>
        </w:pBdr>
        <w:ind w:left="960"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papers are on tier-2 or the same tier periodicals ranked by the </w:t>
      </w:r>
      <w:r w:rsidR="00BF1C0C" w:rsidRPr="007A728B">
        <w:rPr>
          <w:rFonts w:ascii="Times New Roman" w:hAnsi="Times New Roman" w:cs="Times New Roman" w:hint="eastAsia"/>
          <w:color w:val="FF0000"/>
          <w:u w:val="single"/>
        </w:rPr>
        <w:t>National Science and Technology Council</w:t>
      </w:r>
      <w:r>
        <w:rPr>
          <w:rFonts w:ascii="Times New Roman" w:eastAsia="Times New Roman" w:hAnsi="Times New Roman" w:cs="Times New Roman"/>
          <w:color w:val="000000"/>
          <w:sz w:val="24"/>
          <w:szCs w:val="24"/>
        </w:rPr>
        <w:t xml:space="preserve"> among such Literature I (Chinese literature, Taiwan literature, and etc.), Literature II (foreign literature), Linguistics, Historiography, Library and Information Science disciplines.</w:t>
      </w:r>
    </w:p>
    <w:p w14:paraId="00000022" w14:textId="77777777" w:rsidR="00035C71" w:rsidRDefault="00457234">
      <w:pPr>
        <w:numPr>
          <w:ilvl w:val="0"/>
          <w:numId w:val="2"/>
        </w:numPr>
        <w:pBdr>
          <w:top w:val="nil"/>
          <w:left w:val="nil"/>
          <w:bottom w:val="nil"/>
          <w:right w:val="nil"/>
          <w:between w:val="nil"/>
        </w:pBdr>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Tier-3 Periodical Articles:</w:t>
      </w:r>
    </w:p>
    <w:p w14:paraId="00000023" w14:textId="77777777" w:rsidR="00035C71" w:rsidRDefault="00457234">
      <w:pPr>
        <w:pBdr>
          <w:top w:val="nil"/>
          <w:left w:val="nil"/>
          <w:bottom w:val="nil"/>
          <w:right w:val="nil"/>
          <w:between w:val="nil"/>
        </w:pBdr>
        <w:ind w:left="960"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are the periodical articles apart from top-tier and tier-2 periodicals that ha</w:t>
      </w:r>
      <w:r>
        <w:rPr>
          <w:rFonts w:ascii="Times New Roman" w:eastAsia="Times New Roman" w:hAnsi="Times New Roman" w:cs="Times New Roman"/>
          <w:sz w:val="24"/>
          <w:szCs w:val="24"/>
        </w:rPr>
        <w:t>ve</w:t>
      </w:r>
      <w:r>
        <w:rPr>
          <w:rFonts w:ascii="Times New Roman" w:eastAsia="Times New Roman" w:hAnsi="Times New Roman" w:cs="Times New Roman"/>
          <w:color w:val="000000"/>
          <w:sz w:val="24"/>
          <w:szCs w:val="24"/>
        </w:rPr>
        <w:t xml:space="preserve"> double-blind peer review mechanisms.</w:t>
      </w:r>
    </w:p>
    <w:p w14:paraId="00000024" w14:textId="77777777" w:rsidR="00035C71" w:rsidRPr="00BF1C0C" w:rsidRDefault="00457234">
      <w:pPr>
        <w:pBdr>
          <w:top w:val="nil"/>
          <w:left w:val="nil"/>
          <w:bottom w:val="nil"/>
          <w:right w:val="nil"/>
          <w:between w:val="nil"/>
        </w:pBdr>
        <w:spacing w:before="120"/>
        <w:ind w:left="113" w:right="2058" w:hanging="113"/>
        <w:rPr>
          <w:rFonts w:ascii="標楷體" w:eastAsia="標楷體" w:hAnsi="標楷體" w:cs="BiauKai"/>
          <w:sz w:val="24"/>
          <w:szCs w:val="24"/>
        </w:rPr>
      </w:pPr>
      <w:r>
        <w:rPr>
          <w:rFonts w:ascii="BiauKai" w:eastAsia="BiauKai" w:hAnsi="BiauKai" w:cs="BiauKai"/>
          <w:color w:val="000000"/>
          <w:sz w:val="24"/>
          <w:szCs w:val="24"/>
        </w:rPr>
        <w:t xml:space="preserve"> </w:t>
      </w:r>
      <w:r w:rsidRPr="00BF1C0C">
        <w:rPr>
          <w:rFonts w:ascii="標楷體" w:eastAsia="標楷體" w:hAnsi="標楷體" w:cs="BiauKai"/>
          <w:sz w:val="24"/>
          <w:szCs w:val="24"/>
        </w:rPr>
        <w:t>三、專書論文</w:t>
      </w:r>
    </w:p>
    <w:p w14:paraId="00000025" w14:textId="77777777" w:rsidR="00035C71" w:rsidRPr="00BF1C0C" w:rsidRDefault="00457234">
      <w:pPr>
        <w:pBdr>
          <w:top w:val="nil"/>
          <w:left w:val="nil"/>
          <w:bottom w:val="nil"/>
          <w:right w:val="nil"/>
          <w:between w:val="nil"/>
        </w:pBdr>
        <w:ind w:left="567" w:right="111"/>
        <w:jc w:val="both"/>
        <w:rPr>
          <w:rFonts w:ascii="標楷體" w:eastAsia="標楷體" w:hAnsi="標楷體" w:cs="BiauKai"/>
          <w:sz w:val="24"/>
          <w:szCs w:val="24"/>
        </w:rPr>
      </w:pPr>
      <w:r w:rsidRPr="00BF1C0C">
        <w:rPr>
          <w:rFonts w:ascii="標楷體" w:eastAsia="標楷體" w:hAnsi="標楷體" w:cs="BiauKai"/>
          <w:sz w:val="24"/>
          <w:szCs w:val="24"/>
        </w:rPr>
        <w:t>專書論文（或包含該論文的專書）在出版前須送請至少兩位評審以匿名方式審查，包含該論文之專書須由具審查機制的出版單位出版，或由相當等級之國際出版單位出版，均請附審查證明及作者修訂回覆函件（如無修訂回覆函件，須檢附說明）。</w:t>
      </w:r>
    </w:p>
    <w:p w14:paraId="00000026" w14:textId="77777777" w:rsidR="00035C71" w:rsidRDefault="00457234">
      <w:pPr>
        <w:numPr>
          <w:ilvl w:val="0"/>
          <w:numId w:val="3"/>
        </w:numPr>
        <w:pBdr>
          <w:top w:val="nil"/>
          <w:left w:val="nil"/>
          <w:bottom w:val="nil"/>
          <w:right w:val="nil"/>
          <w:between w:val="nil"/>
        </w:pBdr>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 Chapters</w:t>
      </w:r>
    </w:p>
    <w:p w14:paraId="00000027" w14:textId="77777777" w:rsidR="00035C71" w:rsidRDefault="00457234">
      <w:pPr>
        <w:pBdr>
          <w:top w:val="nil"/>
          <w:left w:val="nil"/>
          <w:bottom w:val="nil"/>
          <w:right w:val="nil"/>
          <w:between w:val="nil"/>
        </w:pBdr>
        <w:ind w:left="480"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the publication of book chapters (or monographs that include the specific paper), at least two reviewers must review anonymously. Monographs that include the specific paper must be issued by a publisher with review mechanism, or issued by an international publisher of equivalent level, with review verification and response letters of the author’s revisions (explanations are required if there are no response letters of the revisions).</w:t>
      </w:r>
    </w:p>
    <w:sectPr w:rsidR="00035C71">
      <w:footerReference w:type="default" r:id="rId8"/>
      <w:pgSz w:w="11910" w:h="16840"/>
      <w:pgMar w:top="1440" w:right="1020" w:bottom="1040" w:left="1540" w:header="0" w:footer="8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D1D4" w14:textId="77777777" w:rsidR="008F6798" w:rsidRDefault="008F6798">
      <w:r>
        <w:separator/>
      </w:r>
    </w:p>
  </w:endnote>
  <w:endnote w:type="continuationSeparator" w:id="0">
    <w:p w14:paraId="72FA2D8D" w14:textId="77777777" w:rsidR="008F6798" w:rsidRDefault="008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Calibri"/>
    <w:charset w:val="00"/>
    <w:family w:val="auto"/>
    <w:pitch w:val="default"/>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035C71" w:rsidRDefault="00035C7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AFA9" w14:textId="77777777" w:rsidR="008F6798" w:rsidRDefault="008F6798">
      <w:r>
        <w:separator/>
      </w:r>
    </w:p>
  </w:footnote>
  <w:footnote w:type="continuationSeparator" w:id="0">
    <w:p w14:paraId="2B2B1032" w14:textId="77777777" w:rsidR="008F6798" w:rsidRDefault="008F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9B7"/>
    <w:multiLevelType w:val="multilevel"/>
    <w:tmpl w:val="4E14ACC4"/>
    <w:lvl w:ilvl="0">
      <w:start w:val="1"/>
      <w:numFmt w:val="decimal"/>
      <w:lvlText w:val="%12."/>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85A"/>
    <w:multiLevelType w:val="multilevel"/>
    <w:tmpl w:val="42BA6AEE"/>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70C6B18"/>
    <w:multiLevelType w:val="hybridMultilevel"/>
    <w:tmpl w:val="8F88BF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2E238C"/>
    <w:multiLevelType w:val="multilevel"/>
    <w:tmpl w:val="ED4281D4"/>
    <w:lvl w:ilvl="0">
      <w:start w:val="1"/>
      <w:numFmt w:val="decimal"/>
      <w:lvlText w:val="3."/>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9320E77"/>
    <w:multiLevelType w:val="multilevel"/>
    <w:tmpl w:val="2E725A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945C15"/>
    <w:multiLevelType w:val="multilevel"/>
    <w:tmpl w:val="C78613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FEB16EA"/>
    <w:multiLevelType w:val="multilevel"/>
    <w:tmpl w:val="32F09C6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5"/>
  </w:num>
  <w:num w:numId="3">
    <w:abstractNumId w:val="3"/>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71"/>
    <w:rsid w:val="00035C71"/>
    <w:rsid w:val="000E75BD"/>
    <w:rsid w:val="0019092D"/>
    <w:rsid w:val="002008EF"/>
    <w:rsid w:val="00457234"/>
    <w:rsid w:val="006A6981"/>
    <w:rsid w:val="008F6798"/>
    <w:rsid w:val="009D6A1C"/>
    <w:rsid w:val="00AC1FAD"/>
    <w:rsid w:val="00BF1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E1E0"/>
  <w15:docId w15:val="{0C5E5B0A-B230-41B4-806E-309EE420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22"/>
      <w:ind w:left="590"/>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518A8"/>
    <w:pPr>
      <w:tabs>
        <w:tab w:val="center" w:pos="4153"/>
        <w:tab w:val="right" w:pos="8306"/>
      </w:tabs>
      <w:snapToGrid w:val="0"/>
    </w:pPr>
    <w:rPr>
      <w:sz w:val="20"/>
      <w:szCs w:val="20"/>
    </w:rPr>
  </w:style>
  <w:style w:type="character" w:customStyle="1" w:styleId="a7">
    <w:name w:val="頁首 字元"/>
    <w:basedOn w:val="a0"/>
    <w:link w:val="a6"/>
    <w:uiPriority w:val="99"/>
    <w:rsid w:val="00B518A8"/>
    <w:rPr>
      <w:sz w:val="20"/>
      <w:szCs w:val="20"/>
    </w:rPr>
  </w:style>
  <w:style w:type="paragraph" w:styleId="a8">
    <w:name w:val="footer"/>
    <w:basedOn w:val="a"/>
    <w:link w:val="a9"/>
    <w:uiPriority w:val="99"/>
    <w:unhideWhenUsed/>
    <w:rsid w:val="00B518A8"/>
    <w:pPr>
      <w:tabs>
        <w:tab w:val="center" w:pos="4153"/>
        <w:tab w:val="right" w:pos="8306"/>
      </w:tabs>
      <w:snapToGrid w:val="0"/>
    </w:pPr>
    <w:rPr>
      <w:sz w:val="20"/>
      <w:szCs w:val="20"/>
    </w:rPr>
  </w:style>
  <w:style w:type="character" w:customStyle="1" w:styleId="a9">
    <w:name w:val="頁尾 字元"/>
    <w:basedOn w:val="a0"/>
    <w:link w:val="a8"/>
    <w:uiPriority w:val="99"/>
    <w:rsid w:val="00B518A8"/>
    <w:rPr>
      <w:sz w:val="20"/>
      <w:szCs w:val="20"/>
    </w:rPr>
  </w:style>
  <w:style w:type="numbering" w:customStyle="1" w:styleId="10">
    <w:name w:val="目前的清單1"/>
    <w:uiPriority w:val="99"/>
    <w:rsid w:val="00F27843"/>
  </w:style>
  <w:style w:type="numbering" w:customStyle="1" w:styleId="20">
    <w:name w:val="目前的清單2"/>
    <w:uiPriority w:val="99"/>
    <w:rsid w:val="00A218D4"/>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1jNg86bVDy1rd1KZSDGZauLwVA==">AMUW2mVd+HwMmkEJPoxYZpgwRFVPy2aG/WWCuWu+RcKqLExHwySpPsK3mPBsrp+YMbiu5vsmR3etFGjbaY5OXqLGL1a/PXnjYIigGUNsugYeXnD3gNH50rU=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huei ting huang</cp:lastModifiedBy>
  <cp:revision>7</cp:revision>
  <dcterms:created xsi:type="dcterms:W3CDTF">2021-12-24T18:20:00Z</dcterms:created>
  <dcterms:modified xsi:type="dcterms:W3CDTF">2025-01-16T02:49:00Z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2021-12-24T00:00:00Z</vt:filetime>
  </property>
</Properties>
</file>